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B26B">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ascii="Arial"/>
          <w:sz w:val="21"/>
        </w:rPr>
      </w:pPr>
    </w:p>
    <w:p w14:paraId="7E90A9F3">
      <w:pPr>
        <w:pStyle w:val="4"/>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0"/>
        <w:jc w:val="center"/>
        <w:textAlignment w:val="baseline"/>
        <w:rPr>
          <w:rFonts w:hint="eastAsia" w:ascii="方正公文小标宋" w:hAnsi="方正公文小标宋" w:eastAsia="方正公文小标宋" w:cs="方正公文小标宋"/>
          <w:sz w:val="44"/>
          <w:szCs w:val="44"/>
        </w:rPr>
      </w:pPr>
    </w:p>
    <w:p w14:paraId="3956B960">
      <w:pPr>
        <w:pStyle w:val="4"/>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0"/>
        <w:jc w:val="center"/>
        <w:textAlignment w:val="baseline"/>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pacing w:val="9"/>
          <w:sz w:val="44"/>
          <w:szCs w:val="44"/>
        </w:rPr>
        <w:t>重庆市大足区社会科学界联合会</w:t>
      </w:r>
    </w:p>
    <w:p w14:paraId="54D55E5F">
      <w:pPr>
        <w:pStyle w:val="4"/>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0"/>
        <w:jc w:val="center"/>
        <w:textAlignment w:val="baseline"/>
        <w:rPr>
          <w:rFonts w:hint="eastAsia" w:ascii="方正公文小标宋" w:hAnsi="方正公文小标宋" w:eastAsia="方正公文小标宋" w:cs="方正公文小标宋"/>
          <w:spacing w:val="14"/>
          <w:sz w:val="44"/>
          <w:szCs w:val="44"/>
        </w:rPr>
      </w:pPr>
      <w:r>
        <w:rPr>
          <w:rFonts w:hint="eastAsia" w:ascii="方正公文小标宋" w:hAnsi="方正公文小标宋" w:eastAsia="方正公文小标宋" w:cs="方正公文小标宋"/>
          <w:spacing w:val="12"/>
          <w:sz w:val="44"/>
          <w:szCs w:val="44"/>
        </w:rPr>
        <w:t>关于申报</w:t>
      </w:r>
      <w:r>
        <w:rPr>
          <w:rFonts w:hint="default" w:ascii="Times New Roman" w:hAnsi="Times New Roman" w:eastAsia="方正公文小标宋" w:cs="Times New Roman"/>
          <w:spacing w:val="12"/>
          <w:sz w:val="44"/>
          <w:szCs w:val="44"/>
        </w:rPr>
        <w:t>202</w:t>
      </w:r>
      <w:r>
        <w:rPr>
          <w:rFonts w:hint="default" w:ascii="Times New Roman" w:hAnsi="Times New Roman" w:eastAsia="方正公文小标宋" w:cs="Times New Roman"/>
          <w:spacing w:val="12"/>
          <w:sz w:val="44"/>
          <w:szCs w:val="44"/>
          <w:lang w:val="en-US" w:eastAsia="zh-CN"/>
        </w:rPr>
        <w:t>6</w:t>
      </w:r>
      <w:r>
        <w:rPr>
          <w:rFonts w:hint="eastAsia" w:ascii="方正公文小标宋" w:hAnsi="方正公文小标宋" w:eastAsia="方正公文小标宋" w:cs="方正公文小标宋"/>
          <w:spacing w:val="12"/>
          <w:sz w:val="44"/>
          <w:szCs w:val="44"/>
        </w:rPr>
        <w:t>年度大足区社会科学规划</w:t>
      </w:r>
    </w:p>
    <w:p w14:paraId="11BFC438">
      <w:pPr>
        <w:pStyle w:val="4"/>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0"/>
        <w:jc w:val="center"/>
        <w:textAlignment w:val="baseline"/>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pacing w:val="8"/>
          <w:sz w:val="44"/>
          <w:szCs w:val="44"/>
        </w:rPr>
        <w:t>项目的通知</w:t>
      </w:r>
    </w:p>
    <w:p w14:paraId="6638E374">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ascii="Arial"/>
          <w:sz w:val="21"/>
        </w:rPr>
      </w:pPr>
    </w:p>
    <w:p w14:paraId="66BAE349">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ascii="Arial"/>
          <w:sz w:val="21"/>
        </w:rPr>
      </w:pPr>
    </w:p>
    <w:p w14:paraId="01371B90">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各镇街，</w:t>
      </w:r>
      <w:r>
        <w:rPr>
          <w:rFonts w:hint="eastAsia" w:ascii="Times New Roman" w:hAnsi="Times New Roman" w:eastAsia="方正仿宋_GBK" w:cs="Times New Roman"/>
          <w:sz w:val="32"/>
          <w:szCs w:val="32"/>
          <w:lang w:val="en-US" w:eastAsia="zh-CN"/>
        </w:rPr>
        <w:t>相关部门、</w:t>
      </w:r>
      <w:r>
        <w:rPr>
          <w:rFonts w:hint="default" w:ascii="Times New Roman" w:hAnsi="Times New Roman" w:eastAsia="方正仿宋_GBK" w:cs="Times New Roman"/>
          <w:sz w:val="32"/>
          <w:szCs w:val="32"/>
        </w:rPr>
        <w:t>人民团体</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社会组织、高校</w:t>
      </w:r>
      <w:r>
        <w:rPr>
          <w:rFonts w:hint="default" w:ascii="Times New Roman" w:hAnsi="Times New Roman" w:eastAsia="方正仿宋_GBK" w:cs="Times New Roman"/>
          <w:sz w:val="32"/>
          <w:szCs w:val="32"/>
        </w:rPr>
        <w:t>：</w:t>
      </w:r>
    </w:p>
    <w:p w14:paraId="2EB68F1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为促进我区哲学社会科学事业的繁荣和发展，按照区社科联</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年度工作要点安排和《重庆市大足区社会科学规划项目管理办法（试行）》规定，决定开展</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年度大足区社会科学规划项目（简称区社科规划</w:t>
      </w:r>
      <w:r>
        <w:rPr>
          <w:rFonts w:hint="eastAsia" w:ascii="Times New Roman" w:hAnsi="Times New Roman" w:eastAsia="方正仿宋_GBK" w:cs="Times New Roman"/>
          <w:sz w:val="32"/>
          <w:szCs w:val="32"/>
          <w:lang w:val="en-US" w:eastAsia="zh-CN"/>
        </w:rPr>
        <w:t>年度</w:t>
      </w:r>
      <w:r>
        <w:rPr>
          <w:rFonts w:hint="default" w:ascii="Times New Roman" w:hAnsi="Times New Roman" w:eastAsia="方正仿宋_GBK" w:cs="Times New Roman"/>
          <w:sz w:val="32"/>
          <w:szCs w:val="32"/>
        </w:rPr>
        <w:t>项目），请有关单位参考项目选题指南积极组织社科工作者做好项目申报工作。</w:t>
      </w:r>
    </w:p>
    <w:p w14:paraId="2A22389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一、申报范围</w:t>
      </w:r>
    </w:p>
    <w:p w14:paraId="6E1931D0">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项目申报单位原则上是区内机关、企事业单位、人民团体、</w:t>
      </w:r>
    </w:p>
    <w:p w14:paraId="521C7CF4">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社会</w:t>
      </w:r>
      <w:r>
        <w:rPr>
          <w:rFonts w:hint="eastAsia" w:ascii="方正仿宋_GB2312" w:hAnsi="方正仿宋_GB2312" w:eastAsia="方正仿宋_GB2312" w:cs="方正仿宋_GB2312"/>
          <w:sz w:val="32"/>
          <w:szCs w:val="32"/>
          <w:lang w:val="en-US" w:eastAsia="zh-CN"/>
        </w:rPr>
        <w:t>组织</w:t>
      </w:r>
      <w:r>
        <w:rPr>
          <w:rFonts w:hint="eastAsia" w:ascii="方正仿宋_GB2312" w:hAnsi="方正仿宋_GB2312" w:eastAsia="方正仿宋_GB2312" w:cs="方正仿宋_GB2312"/>
          <w:sz w:val="32"/>
          <w:szCs w:val="32"/>
        </w:rPr>
        <w:t>和在</w:t>
      </w:r>
      <w:r>
        <w:rPr>
          <w:rFonts w:hint="eastAsia" w:ascii="方正仿宋_GB2312" w:hAnsi="方正仿宋_GB2312" w:eastAsia="方正仿宋_GB2312" w:cs="方正仿宋_GB2312"/>
          <w:sz w:val="32"/>
          <w:szCs w:val="32"/>
          <w:lang w:val="en-US" w:eastAsia="zh-CN"/>
        </w:rPr>
        <w:t>足</w:t>
      </w:r>
      <w:r>
        <w:rPr>
          <w:rFonts w:hint="eastAsia" w:ascii="方正仿宋_GB2312" w:hAnsi="方正仿宋_GB2312" w:eastAsia="方正仿宋_GB2312" w:cs="方正仿宋_GB2312"/>
          <w:sz w:val="32"/>
          <w:szCs w:val="32"/>
        </w:rPr>
        <w:t>高等院校，实行自主申报、择优立项原则。</w:t>
      </w:r>
    </w:p>
    <w:p w14:paraId="7DC3F30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二、学科范围</w:t>
      </w:r>
    </w:p>
    <w:p w14:paraId="21990310">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参照国家社科基金项目的学科分类，即马列·科社、党史·党建、哲学、理论经济、应用经济、统计学、政治学、法学、社会学、人口学、民族学、国际问题研究、中国历史、世界历史、考古学、宗教学、中国文学、外国文学、语言学、新闻学与传播学、图书馆·情报与文献学、体育学、管理学。其他学科按相近原则归并到前述相关学科。</w:t>
      </w:r>
    </w:p>
    <w:p w14:paraId="3B90E840">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申报选题</w:t>
      </w:r>
    </w:p>
    <w:p w14:paraId="336AEF9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eastAsia" w:ascii="方正仿宋_GB2312" w:hAnsi="方正仿宋_GB2312" w:eastAsia="方正仿宋_GB2312" w:cs="方正仿宋_GB2312"/>
          <w:sz w:val="32"/>
          <w:szCs w:val="32"/>
        </w:rPr>
        <w:t>《</w:t>
      </w:r>
      <w:r>
        <w:rPr>
          <w:rFonts w:hint="default" w:ascii="Times New Roman" w:hAnsi="Times New Roman" w:eastAsia="方正仿宋_GB2312" w:cs="Times New Roman"/>
          <w:sz w:val="32"/>
          <w:szCs w:val="32"/>
        </w:rPr>
        <w:t>202</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年大足区哲学社会科学规划项目选题指南》（附件 1），明确了</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年大足区社会科学规划项目研究方向，申报单位参照指南自行选题申报。</w:t>
      </w:r>
    </w:p>
    <w:p w14:paraId="7148CFB6">
      <w:pPr>
        <w:keepNext w:val="0"/>
        <w:keepLines w:val="0"/>
        <w:pageBreakBefore w:val="0"/>
        <w:widowControl w:val="0"/>
        <w:kinsoku/>
        <w:wordWrap/>
        <w:overflowPunct/>
        <w:topLinePunct w:val="0"/>
        <w:autoSpaceDE/>
        <w:autoSpaceDN/>
        <w:bidi w:val="0"/>
        <w:spacing w:line="56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、申报条件</w:t>
      </w:r>
    </w:p>
    <w:p w14:paraId="0EFE6F0B">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jc w:val="left"/>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（一）遵守中华人民共和国宪法，热爱社会主义祖国，拥护中国共产党的领导。遵守学术道德和学术规范，具备完成项目研究的专业水平和时间保证。</w:t>
      </w:r>
    </w:p>
    <w:p w14:paraId="681D176C">
      <w:pPr>
        <w:pStyle w:val="2"/>
        <w:keepNext w:val="0"/>
        <w:keepLines w:val="0"/>
        <w:pageBreakBefore w:val="0"/>
        <w:kinsoku/>
        <w:wordWrap/>
        <w:overflowPunct/>
        <w:topLinePunct w:val="0"/>
        <w:autoSpaceDE/>
        <w:autoSpaceDN/>
        <w:bidi w:val="0"/>
        <w:adjustRightInd w:val="0"/>
        <w:snapToGrid w:val="0"/>
        <w:spacing w:line="600" w:lineRule="exact"/>
        <w:ind w:firstLine="640" w:firstLineChars="200"/>
        <w:jc w:val="left"/>
        <w:outlineLvl w:val="9"/>
        <w:rPr>
          <w:rFonts w:hint="eastAsia" w:ascii="方正仿宋_GBK" w:hAnsi="方正仿宋_GBK" w:eastAsia="方正仿宋_GBK" w:cs="方正仿宋_GBK"/>
          <w:b w:val="0"/>
          <w:bCs w:val="0"/>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（二）申报单位、项目负责人和项目组成人员已经承担了国家级、市级、区级相同内容的项目，不得以相同内容再次申报区社会规划年度项目。</w:t>
      </w:r>
    </w:p>
    <w:p w14:paraId="11F685FB">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（三）每个</w:t>
      </w:r>
      <w:r>
        <w:rPr>
          <w:rFonts w:hint="default" w:ascii="Times New Roman" w:hAnsi="Times New Roman" w:eastAsia="方正仿宋_GBK" w:cs="Times New Roman"/>
          <w:sz w:val="32"/>
          <w:szCs w:val="32"/>
          <w:lang w:val="en-US" w:eastAsia="zh-CN"/>
        </w:rPr>
        <w:t>项目负责人</w:t>
      </w:r>
      <w:r>
        <w:rPr>
          <w:rFonts w:hint="eastAsia" w:ascii="Times New Roman" w:hAnsi="Times New Roman" w:eastAsia="方正仿宋_GBK" w:cs="Times New Roman"/>
          <w:sz w:val="32"/>
          <w:szCs w:val="32"/>
          <w:lang w:val="en-US" w:eastAsia="zh-CN"/>
        </w:rPr>
        <w:t>只能申报一个年度项目（专项除外）</w:t>
      </w:r>
      <w:r>
        <w:rPr>
          <w:rFonts w:hint="default" w:ascii="Times New Roman" w:hAnsi="Times New Roman" w:eastAsia="方正仿宋_GBK" w:cs="Times New Roman"/>
          <w:sz w:val="32"/>
          <w:szCs w:val="32"/>
          <w:lang w:val="en-US" w:eastAsia="zh-CN"/>
        </w:rPr>
        <w:t>。</w:t>
      </w:r>
    </w:p>
    <w:p w14:paraId="7DEA0577">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（四）项目研究周期为1年时间（专项除外）。</w:t>
      </w:r>
    </w:p>
    <w:p w14:paraId="75422D2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其他事项</w:t>
      </w:r>
    </w:p>
    <w:p w14:paraId="5C26E0A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（一）凡有申报</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lang w:val="en-US" w:eastAsia="zh-CN"/>
        </w:rPr>
        <w:t>社科</w:t>
      </w:r>
      <w:r>
        <w:rPr>
          <w:rFonts w:hint="eastAsia" w:ascii="方正仿宋_GB2312" w:hAnsi="方正仿宋_GB2312" w:eastAsia="方正仿宋_GB2312" w:cs="方正仿宋_GB2312"/>
          <w:sz w:val="32"/>
          <w:szCs w:val="32"/>
          <w:lang w:eastAsia="zh-CN"/>
        </w:rPr>
        <w:t>规划年度项目</w:t>
      </w:r>
      <w:r>
        <w:rPr>
          <w:rFonts w:hint="eastAsia" w:ascii="方正仿宋_GB2312" w:hAnsi="方正仿宋_GB2312" w:eastAsia="方正仿宋_GB2312" w:cs="方正仿宋_GB2312"/>
          <w:sz w:val="32"/>
          <w:szCs w:val="32"/>
        </w:rPr>
        <w:t>意向的，请与联系人取得联系，</w:t>
      </w:r>
      <w:r>
        <w:rPr>
          <w:rFonts w:hint="eastAsia" w:ascii="方正仿宋_GB2312" w:hAnsi="方正仿宋_GB2312" w:eastAsia="方正仿宋_GB2312" w:cs="方正仿宋_GB2312"/>
          <w:sz w:val="32"/>
          <w:szCs w:val="32"/>
          <w:lang w:val="en-US" w:eastAsia="zh-CN"/>
        </w:rPr>
        <w:t>领取申报</w:t>
      </w:r>
      <w:r>
        <w:rPr>
          <w:rFonts w:hint="eastAsia" w:ascii="方正仿宋_GBK" w:hAnsi="方正仿宋_GBK" w:eastAsia="方正仿宋_GBK" w:cs="方正仿宋_GBK"/>
          <w:sz w:val="32"/>
          <w:szCs w:val="32"/>
          <w:lang w:val="en-US" w:eastAsia="zh-CN"/>
        </w:rPr>
        <w:t>资</w:t>
      </w:r>
      <w:r>
        <w:rPr>
          <w:rFonts w:hint="eastAsia" w:ascii="方正仿宋_GB2312" w:hAnsi="方正仿宋_GB2312" w:eastAsia="方正仿宋_GB2312" w:cs="方正仿宋_GB2312"/>
          <w:sz w:val="32"/>
          <w:szCs w:val="32"/>
          <w:lang w:val="en-US" w:eastAsia="zh-CN"/>
        </w:rPr>
        <w:t>料</w:t>
      </w:r>
      <w:r>
        <w:rPr>
          <w:rFonts w:hint="eastAsia" w:ascii="方正仿宋_GB2312" w:hAnsi="方正仿宋_GB2312" w:eastAsia="方正仿宋_GB2312" w:cs="方正仿宋_GB2312"/>
          <w:sz w:val="32"/>
          <w:szCs w:val="32"/>
        </w:rPr>
        <w:t>。</w:t>
      </w:r>
    </w:p>
    <w:p w14:paraId="70E06DC8">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（二）各项目负责人所在单位要加强对项目申报工作的组织</w:t>
      </w:r>
    </w:p>
    <w:p w14:paraId="04E88408">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和指导，经单位科研负责人签字盖章后进行申报。</w:t>
      </w:r>
    </w:p>
    <w:p w14:paraId="7E32AD1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（三）各项目负责人要加强对研究成果的转化运用，成果转</w:t>
      </w:r>
    </w:p>
    <w:p w14:paraId="3CEABEFD">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化</w:t>
      </w:r>
      <w:r>
        <w:rPr>
          <w:rFonts w:hint="eastAsia" w:ascii="方正仿宋_GB2312" w:hAnsi="方正仿宋_GB2312" w:eastAsia="方正仿宋_GB2312" w:cs="方正仿宋_GB2312"/>
          <w:sz w:val="32"/>
          <w:szCs w:val="32"/>
          <w:lang w:val="en-US" w:eastAsia="zh-CN"/>
        </w:rPr>
        <w:t>运用</w:t>
      </w:r>
      <w:r>
        <w:rPr>
          <w:rFonts w:hint="eastAsia" w:ascii="方正仿宋_GB2312" w:hAnsi="方正仿宋_GB2312" w:eastAsia="方正仿宋_GB2312" w:cs="方正仿宋_GB2312"/>
          <w:sz w:val="32"/>
          <w:szCs w:val="32"/>
        </w:rPr>
        <w:t>情况将作为项目结项等级鉴定的重要参考。</w:t>
      </w:r>
    </w:p>
    <w:p w14:paraId="60EB19A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lang w:eastAsia="zh-CN"/>
        </w:rPr>
        <w:t>）</w:t>
      </w:r>
      <w:r>
        <w:rPr>
          <w:rFonts w:hint="eastAsia" w:ascii="Times New Roman" w:hAnsi="Times New Roman" w:eastAsia="方正仿宋_GBK" w:cs="Times New Roman"/>
          <w:sz w:val="32"/>
          <w:szCs w:val="32"/>
          <w:lang w:val="en-US" w:eastAsia="zh-CN"/>
        </w:rPr>
        <w:t>项目成果经专家评审为合格及以上的给予一定经费资助。</w:t>
      </w:r>
    </w:p>
    <w:p w14:paraId="1187048D">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）申报材料一式</w:t>
      </w:r>
      <w:r>
        <w:rPr>
          <w:rFonts w:hint="eastAsia" w:ascii="方正仿宋_GB2312" w:hAnsi="方正仿宋_GB2312" w:eastAsia="方正仿宋_GB2312" w:cs="方正仿宋_GB2312"/>
          <w:sz w:val="32"/>
          <w:szCs w:val="32"/>
          <w:lang w:val="en-US" w:eastAsia="zh-CN"/>
        </w:rPr>
        <w:t>两</w:t>
      </w:r>
      <w:r>
        <w:rPr>
          <w:rFonts w:hint="eastAsia" w:ascii="方正仿宋_GB2312" w:hAnsi="方正仿宋_GB2312" w:eastAsia="方正仿宋_GB2312" w:cs="方正仿宋_GB2312"/>
          <w:sz w:val="32"/>
          <w:szCs w:val="32"/>
        </w:rPr>
        <w:t>份，于</w:t>
      </w:r>
      <w:r>
        <w:rPr>
          <w:rFonts w:hint="default" w:ascii="Times New Roman" w:hAnsi="Times New Roman" w:eastAsia="方正仿宋_GB2312" w:cs="Times New Roman"/>
          <w:sz w:val="32"/>
          <w:szCs w:val="32"/>
          <w:lang w:eastAsia="zh-CN"/>
        </w:rPr>
        <w:t>2026</w:t>
      </w:r>
      <w:r>
        <w:rPr>
          <w:rFonts w:hint="default" w:ascii="Times New Roman" w:hAnsi="Times New Roman" w:eastAsia="方正仿宋_GB2312" w:cs="Times New Roman"/>
          <w:sz w:val="32"/>
          <w:szCs w:val="32"/>
        </w:rPr>
        <w:t>年</w:t>
      </w:r>
      <w:r>
        <w:rPr>
          <w:rFonts w:hint="eastAsia" w:ascii="Times New Roman" w:hAnsi="Times New Roman" w:eastAsia="方正仿宋_GB2312" w:cs="Times New Roman"/>
          <w:sz w:val="32"/>
          <w:szCs w:val="32"/>
          <w:lang w:val="en-US" w:eastAsia="zh-CN"/>
        </w:rPr>
        <w:t>8</w:t>
      </w:r>
      <w:r>
        <w:rPr>
          <w:rFonts w:hint="default"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val="en-US" w:eastAsia="zh-CN"/>
        </w:rPr>
        <w:t>7</w:t>
      </w:r>
      <w:r>
        <w:rPr>
          <w:rFonts w:hint="eastAsia" w:ascii="方正仿宋_GB2312" w:hAnsi="方正仿宋_GB2312" w:eastAsia="方正仿宋_GB2312" w:cs="方正仿宋_GB2312"/>
          <w:sz w:val="32"/>
          <w:szCs w:val="32"/>
        </w:rPr>
        <w:t>日前交区社科联（区党政</w:t>
      </w:r>
      <w:r>
        <w:rPr>
          <w:rFonts w:hint="default" w:ascii="Times New Roman" w:hAnsi="Times New Roman" w:eastAsia="方正仿宋_GB2312" w:cs="Times New Roman"/>
          <w:sz w:val="32"/>
          <w:szCs w:val="32"/>
        </w:rPr>
        <w:t>办公中心</w:t>
      </w:r>
      <w:r>
        <w:rPr>
          <w:rFonts w:hint="default" w:ascii="Times New Roman" w:hAnsi="Times New Roman" w:eastAsia="方正仿宋_GB2312" w:cs="Times New Roman"/>
          <w:sz w:val="32"/>
          <w:szCs w:val="32"/>
          <w:lang w:val="en-US" w:eastAsia="zh-CN"/>
        </w:rPr>
        <w:t>817</w:t>
      </w:r>
      <w:r>
        <w:rPr>
          <w:rFonts w:hint="default" w:ascii="Times New Roman" w:hAnsi="Times New Roman" w:eastAsia="方正仿宋_GB2312" w:cs="Times New Roman"/>
          <w:sz w:val="32"/>
          <w:szCs w:val="32"/>
        </w:rPr>
        <w:t>室），</w:t>
      </w:r>
      <w:r>
        <w:rPr>
          <w:rFonts w:hint="eastAsia" w:ascii="方正仿宋_GB2312" w:hAnsi="方正仿宋_GB2312" w:eastAsia="方正仿宋_GB2312" w:cs="方正仿宋_GB2312"/>
          <w:sz w:val="32"/>
          <w:szCs w:val="32"/>
        </w:rPr>
        <w:t>同时将电子材料发送到电子邮箱（</w:t>
      </w:r>
      <w:r>
        <w:rPr>
          <w:rFonts w:hint="default" w:ascii="Times New Roman" w:hAnsi="Times New Roman" w:eastAsia="方正仿宋_GB2312" w:cs="Times New Roman"/>
          <w:sz w:val="32"/>
          <w:szCs w:val="32"/>
        </w:rPr>
        <w:t>dzqskl@126.com</w:t>
      </w:r>
      <w:r>
        <w:rPr>
          <w:rFonts w:hint="eastAsia" w:ascii="方正仿宋_GB2312" w:hAnsi="方正仿宋_GB2312" w:eastAsia="方正仿宋_GB2312" w:cs="方正仿宋_GB2312"/>
          <w:sz w:val="32"/>
          <w:szCs w:val="32"/>
        </w:rPr>
        <w:t>）。</w:t>
      </w:r>
    </w:p>
    <w:p w14:paraId="63EF974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最终成果规范格式请参考附件</w:t>
      </w:r>
      <w:r>
        <w:rPr>
          <w:rFonts w:hint="default" w:ascii="Times New Roman" w:hAnsi="Times New Roman" w:eastAsia="方正仿宋_GB2312" w:cs="Times New Roman"/>
          <w:sz w:val="32"/>
          <w:szCs w:val="32"/>
        </w:rPr>
        <w:t>2</w:t>
      </w:r>
      <w:r>
        <w:rPr>
          <w:rFonts w:hint="eastAsia" w:ascii="方正仿宋_GB2312" w:hAnsi="方正仿宋_GB2312" w:eastAsia="方正仿宋_GB2312" w:cs="方正仿宋_GB2312"/>
          <w:sz w:val="32"/>
          <w:szCs w:val="32"/>
        </w:rPr>
        <w:t>。</w:t>
      </w:r>
    </w:p>
    <w:p w14:paraId="4F4B94F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（七）结项时需提交最终成果的查重率不高于</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的查重报告。</w:t>
      </w:r>
    </w:p>
    <w:p w14:paraId="2B51BD0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年度大足区社会科学规划项目申报选题指南</w:t>
      </w:r>
    </w:p>
    <w:p w14:paraId="44F79CCE">
      <w:pPr>
        <w:keepNext w:val="0"/>
        <w:keepLines w:val="0"/>
        <w:pageBreakBefore w:val="0"/>
        <w:widowControl/>
        <w:kinsoku w:val="0"/>
        <w:wordWrap/>
        <w:overflowPunct/>
        <w:topLinePunct w:val="0"/>
        <w:autoSpaceDE w:val="0"/>
        <w:autoSpaceDN w:val="0"/>
        <w:bidi w:val="0"/>
        <w:adjustRightInd w:val="0"/>
        <w:snapToGrid w:val="0"/>
        <w:spacing w:line="594" w:lineRule="exact"/>
        <w:ind w:firstLine="1280" w:firstLineChars="4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最终成果规范格式</w:t>
      </w:r>
    </w:p>
    <w:p w14:paraId="50DD334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3917E59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58689C2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18109F33">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4D83FF77">
      <w:pPr>
        <w:pStyle w:val="2"/>
        <w:rPr>
          <w:rFonts w:hint="eastAsia"/>
        </w:rPr>
      </w:pPr>
      <w:bookmarkStart w:id="0" w:name="_GoBack"/>
      <w:bookmarkEnd w:id="0"/>
    </w:p>
    <w:p w14:paraId="4368BCB3">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righ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重庆市大足区社会科学界联合会</w:t>
      </w:r>
    </w:p>
    <w:p w14:paraId="00ECD8E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center"/>
        <w:textAlignment w:val="baseline"/>
        <w:rPr>
          <w:rFonts w:hint="default" w:ascii="Times New Roman" w:hAnsi="Times New Roman" w:eastAsia="方正仿宋_GB2312" w:cs="Times New Roman"/>
          <w:sz w:val="32"/>
          <w:szCs w:val="32"/>
        </w:rPr>
      </w:pPr>
      <w:r>
        <w:rPr>
          <w:rFonts w:hint="eastAsia" w:ascii="方正仿宋_GB2312" w:hAnsi="方正仿宋_GB2312" w:eastAsia="方正仿宋_GB2312" w:cs="方正仿宋_GB2312"/>
          <w:sz w:val="32"/>
          <w:szCs w:val="32"/>
          <w:lang w:val="en-US" w:eastAsia="zh-CN"/>
        </w:rPr>
        <w:t xml:space="preserve">                                </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lang w:eastAsia="zh-CN"/>
        </w:rPr>
        <w:t>2026</w:t>
      </w:r>
      <w:r>
        <w:rPr>
          <w:rFonts w:hint="default" w:ascii="Times New Roman" w:hAnsi="Times New Roman" w:eastAsia="方正仿宋_GB2312" w:cs="Times New Roman"/>
          <w:sz w:val="32"/>
          <w:szCs w:val="32"/>
        </w:rPr>
        <w:t>年</w:t>
      </w:r>
      <w:r>
        <w:rPr>
          <w:rFonts w:hint="eastAsia"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rPr>
        <w:t>日</w:t>
      </w:r>
    </w:p>
    <w:p w14:paraId="64A2C93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4E46CDD8">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w:t>
      </w:r>
      <w:r>
        <w:rPr>
          <w:rFonts w:hint="eastAsia" w:ascii="方正仿宋_GBK" w:hAnsi="方正仿宋_GBK" w:eastAsia="方正仿宋_GBK" w:cs="方正仿宋_GBK"/>
          <w:sz w:val="32"/>
          <w:szCs w:val="32"/>
          <w:lang w:val="en-US" w:eastAsia="zh-CN"/>
        </w:rPr>
        <w:t>张力</w:t>
      </w:r>
      <w:r>
        <w:rPr>
          <w:rFonts w:hint="default" w:ascii="Times New Roman" w:hAnsi="Times New Roman" w:eastAsia="方正仿宋_GB2312" w:cs="Times New Roman"/>
          <w:sz w:val="32"/>
          <w:szCs w:val="32"/>
        </w:rPr>
        <w:t>；联系电话</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15111841108</w:t>
      </w:r>
      <w:r>
        <w:rPr>
          <w:rFonts w:hint="default" w:ascii="Times New Roman" w:hAnsi="Times New Roman" w:eastAsia="方正仿宋_GB2312" w:cs="Times New Roman"/>
          <w:sz w:val="32"/>
          <w:szCs w:val="32"/>
        </w:rPr>
        <w:t xml:space="preserve"> </w:t>
      </w:r>
      <w:r>
        <w:rPr>
          <w:rFonts w:hint="eastAsia" w:ascii="方正仿宋_GB2312" w:hAnsi="方正仿宋_GB2312" w:eastAsia="方正仿宋_GB2312" w:cs="方正仿宋_GB2312"/>
          <w:sz w:val="32"/>
          <w:szCs w:val="32"/>
        </w:rPr>
        <w:t>）</w:t>
      </w:r>
    </w:p>
    <w:p w14:paraId="7AD579C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26907B7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0966A32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20D925E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22FB970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3B55689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21AD4113">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1276552E">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附件1</w:t>
      </w:r>
    </w:p>
    <w:p w14:paraId="2FA7DCC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5193B3D3">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jc w:val="center"/>
        <w:textAlignment w:val="baseline"/>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2026</w:t>
      </w:r>
      <w:r>
        <w:rPr>
          <w:rFonts w:hint="eastAsia" w:ascii="方正公文小标宋" w:hAnsi="方正公文小标宋" w:eastAsia="方正公文小标宋" w:cs="方正公文小标宋"/>
          <w:sz w:val="44"/>
          <w:szCs w:val="44"/>
        </w:rPr>
        <w:t>年度大足区社会科学规划项目</w:t>
      </w:r>
    </w:p>
    <w:p w14:paraId="30080FFF">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jc w:val="center"/>
        <w:textAlignment w:val="baseline"/>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申报选题指南</w:t>
      </w:r>
    </w:p>
    <w:p w14:paraId="05FEDECF">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sz w:val="32"/>
          <w:szCs w:val="32"/>
        </w:rPr>
      </w:pPr>
    </w:p>
    <w:p w14:paraId="1F2ACC0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选题指南为</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年大足区社会科学规划项目研究方向，申报</w:t>
      </w:r>
    </w:p>
    <w:p w14:paraId="53D02B05">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单位参照选题指南自拟题目进行申报。</w:t>
      </w:r>
    </w:p>
    <w:p w14:paraId="1E242A0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eastAsia" w:ascii="Times New Roman" w:hAnsi="Times New Roman" w:eastAsia="黑体" w:cs="宋体"/>
          <w:color w:val="000000"/>
          <w:kern w:val="0"/>
          <w:sz w:val="32"/>
          <w:szCs w:val="32"/>
          <w:lang w:val="en-US" w:eastAsia="zh-CN"/>
        </w:rPr>
        <w:t>一</w:t>
      </w:r>
      <w:r>
        <w:rPr>
          <w:rFonts w:hint="eastAsia" w:ascii="Times New Roman" w:hAnsi="Times New Roman" w:eastAsia="黑体" w:cs="宋体"/>
          <w:color w:val="000000"/>
          <w:kern w:val="0"/>
          <w:sz w:val="32"/>
          <w:szCs w:val="32"/>
        </w:rPr>
        <w:t>、党的二十届四中全会精神研究阐释</w:t>
      </w:r>
    </w:p>
    <w:p w14:paraId="1073A016">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1.大足融入成渝地区双城经济圈建设深化路径研究</w:t>
      </w:r>
    </w:p>
    <w:p w14:paraId="778E871F">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2.区域经济高质量发展研究</w:t>
      </w:r>
    </w:p>
    <w:p w14:paraId="203788DB">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3.新兴产业与未来产业培育壮大机制研究</w:t>
      </w:r>
    </w:p>
    <w:p w14:paraId="0CDBF8E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4.促进现代生活性服务业提质增效路径研究</w:t>
      </w:r>
    </w:p>
    <w:p w14:paraId="02635F42">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5.推动科技创新与产业创新深度融合的政策机制研究</w:t>
      </w:r>
    </w:p>
    <w:p w14:paraId="50DE5EF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6.高质量推进以人为本的新型城镇化大足实践研究</w:t>
      </w:r>
    </w:p>
    <w:p w14:paraId="4E05C8A6">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7.城乡要素双向流动的制度创新与路径探索</w:t>
      </w:r>
    </w:p>
    <w:p w14:paraId="7C738495">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8.巴渝和美乡村建设的实践研究</w:t>
      </w:r>
    </w:p>
    <w:p w14:paraId="3BFCC5EA">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9.打造巴渝粮仓核心区的实践与路径研究</w:t>
      </w:r>
    </w:p>
    <w:p w14:paraId="4BC3BDB1">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10.完善社会治理体系推进基层治理现代化研究</w:t>
      </w:r>
    </w:p>
    <w:p w14:paraId="5040A4EB">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11.社会主义核心价值观融入大足城市精神与市民培育研究</w:t>
      </w:r>
    </w:p>
    <w:p w14:paraId="7D6DF26E">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12.地方特色文化产品和服务供给创新研究</w:t>
      </w:r>
    </w:p>
    <w:p w14:paraId="7813408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13.深化教育科技人才一体发展服务地方高质量发展研究</w:t>
      </w:r>
    </w:p>
    <w:p w14:paraId="21EB0593">
      <w:pPr>
        <w:keepNext w:val="0"/>
        <w:keepLines w:val="0"/>
        <w:pageBreakBefore w:val="0"/>
        <w:widowControl/>
        <w:kinsoku/>
        <w:wordWrap/>
        <w:overflowPunct/>
        <w:topLinePunct w:val="0"/>
        <w:autoSpaceDE/>
        <w:autoSpaceDN/>
        <w:bidi w:val="0"/>
        <w:adjustRightInd/>
        <w:snapToGrid/>
        <w:spacing w:line="572" w:lineRule="exact"/>
        <w:ind w:left="638" w:leftChars="304" w:firstLine="0" w:firstLineChars="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14.健全社会保障体系与促进人口高质量发展大足路径研究</w:t>
      </w:r>
      <w:r>
        <w:rPr>
          <w:rFonts w:hint="default" w:ascii="Times New Roman" w:hAnsi="Times New Roman" w:eastAsia="方正仿宋_GBK" w:cs="Times New Roman"/>
          <w:color w:val="auto"/>
          <w:kern w:val="0"/>
          <w:sz w:val="32"/>
          <w:szCs w:val="32"/>
          <w:lang w:val="en-US" w:eastAsia="zh-CN"/>
        </w:rPr>
        <w:t>15.信息化条件下党的创新理论大众化分众化传播路径研究</w:t>
      </w:r>
    </w:p>
    <w:p w14:paraId="22D1AA7A">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16.践行习近平文化思想推进世界文化遗产保护传承与活化利用的路径研究</w:t>
      </w:r>
    </w:p>
    <w:p w14:paraId="6777BC8C">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17.“行走的思政课”—依托世界文化遗产资源，构建大中小学思政教育一体化的路径研究</w:t>
      </w:r>
    </w:p>
    <w:p w14:paraId="6AA26809">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18.破解基层理论宣讲“最后一公里”难题的对策研究</w:t>
      </w:r>
    </w:p>
    <w:p w14:paraId="08764A96">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19.立足世界文化遗产地彰显中华优秀传统文化时代价值的实践逻辑研究</w:t>
      </w:r>
    </w:p>
    <w:p w14:paraId="39895F86">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20.“两企三新”领域党建覆盖与治理融入机制研究</w:t>
      </w:r>
    </w:p>
    <w:p w14:paraId="31A32EB6">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黑体" w:cs="宋体"/>
          <w:color w:val="000000"/>
          <w:kern w:val="0"/>
          <w:sz w:val="32"/>
          <w:szCs w:val="32"/>
          <w:lang w:val="en-US" w:eastAsia="zh-CN"/>
        </w:rPr>
      </w:pPr>
      <w:r>
        <w:rPr>
          <w:rFonts w:hint="eastAsia" w:ascii="Times New Roman" w:hAnsi="Times New Roman" w:eastAsia="黑体" w:cs="宋体"/>
          <w:color w:val="000000"/>
          <w:kern w:val="0"/>
          <w:sz w:val="32"/>
          <w:szCs w:val="32"/>
          <w:lang w:val="en-US" w:eastAsia="zh-CN"/>
        </w:rPr>
        <w:t>二、大足石刻保护研究利用选题方向</w:t>
      </w:r>
    </w:p>
    <w:p w14:paraId="78C57B1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auto"/>
          <w:sz w:val="32"/>
          <w:szCs w:val="32"/>
          <w:lang w:val="en-US" w:eastAsia="zh-CN"/>
        </w:rPr>
        <w:t>大足石刻</w:t>
      </w:r>
      <w:r>
        <w:rPr>
          <w:rFonts w:hint="default" w:ascii="Times New Roman" w:hAnsi="Times New Roman" w:eastAsia="方正仿宋_GBK" w:cs="Times New Roman"/>
          <w:color w:val="auto"/>
          <w:sz w:val="32"/>
          <w:szCs w:val="32"/>
        </w:rPr>
        <w:t>保护研究利用协同</w:t>
      </w:r>
      <w:r>
        <w:rPr>
          <w:rFonts w:hint="default" w:ascii="Times New Roman" w:hAnsi="Times New Roman" w:eastAsia="方正仿宋_GBK" w:cs="Times New Roman"/>
          <w:color w:val="auto"/>
          <w:sz w:val="32"/>
          <w:szCs w:val="32"/>
          <w:lang w:val="en-US" w:eastAsia="zh-CN"/>
        </w:rPr>
        <w:t>发展</w:t>
      </w:r>
      <w:r>
        <w:rPr>
          <w:rFonts w:hint="default" w:ascii="Times New Roman" w:hAnsi="Times New Roman" w:eastAsia="方正仿宋_GBK" w:cs="Times New Roman"/>
          <w:color w:val="auto"/>
          <w:sz w:val="32"/>
          <w:szCs w:val="32"/>
        </w:rPr>
        <w:t>路径</w:t>
      </w:r>
    </w:p>
    <w:p w14:paraId="311608E0">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2.大足石刻花卉纹样的跨山系研究</w:t>
      </w:r>
    </w:p>
    <w:p w14:paraId="79DBFB71">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3.大足宝顶山圆觉洞铭文调查与研究</w:t>
      </w:r>
    </w:p>
    <w:p w14:paraId="4575BE80">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4.大足宝顶山圆觉洞的历史价值及其当代阐释</w:t>
      </w:r>
    </w:p>
    <w:p w14:paraId="5AAE547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5.大足石刻宝顶山圆觉洞窟真菌群落分布特点研究</w:t>
      </w:r>
    </w:p>
    <w:p w14:paraId="412A2672">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6.大足北山石刻转轮经藏窟的价值研究与当代阐释</w:t>
      </w:r>
    </w:p>
    <w:p w14:paraId="1D2140FE">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7.大足宝顶山小佛湾的历史价值与当代阐释</w:t>
      </w:r>
    </w:p>
    <w:p w14:paraId="6433C501">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8.大足石刻中的乐器研究</w:t>
      </w:r>
    </w:p>
    <w:p w14:paraId="36280261">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9.明清时期宝顶山的经营管理研究</w:t>
      </w:r>
    </w:p>
    <w:p w14:paraId="5D38FDE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10.大足石刻儿歌绘本创作的目的和意义</w:t>
      </w:r>
    </w:p>
    <w:p w14:paraId="01F32F78">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黑体" w:cs="宋体"/>
          <w:color w:val="000000"/>
          <w:kern w:val="0"/>
          <w:sz w:val="32"/>
          <w:szCs w:val="32"/>
          <w:lang w:val="en-US" w:eastAsia="zh-CN"/>
        </w:rPr>
      </w:pPr>
      <w:r>
        <w:rPr>
          <w:rFonts w:hint="eastAsia" w:ascii="Times New Roman" w:hAnsi="Times New Roman" w:eastAsia="黑体" w:cs="宋体"/>
          <w:color w:val="000000"/>
          <w:kern w:val="0"/>
          <w:sz w:val="32"/>
          <w:szCs w:val="32"/>
          <w:lang w:val="en-US" w:eastAsia="zh-CN"/>
        </w:rPr>
        <w:t>三、大足区经济社会发展的研究选题方向</w:t>
      </w:r>
    </w:p>
    <w:p w14:paraId="3ACB566D">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1.新质生产力驱动下区域制造业“链群协同”机制研究</w:t>
      </w:r>
    </w:p>
    <w:p w14:paraId="5CC8DA8E">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2.亩均效益改革与制造业高质量发展的耦合机理及实践路径</w:t>
      </w:r>
    </w:p>
    <w:p w14:paraId="07CC101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3.成渝地区双城经济圈中区域节点城市产业承接能力与跃迁路径研究</w:t>
      </w:r>
    </w:p>
    <w:p w14:paraId="5038A395">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方正仿宋_GBK" w:cs="Times New Roman"/>
          <w:color w:val="auto"/>
          <w:sz w:val="32"/>
          <w:szCs w:val="32"/>
        </w:rPr>
        <w:t xml:space="preserve">传统产业集群数字化转型的 </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政府—平台—企业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协同机制研究</w:t>
      </w:r>
    </w:p>
    <w:p w14:paraId="69D4677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中国锶都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建设视角下特色新材料产业价值链攀升机制与政策支持体系研究</w:t>
      </w:r>
    </w:p>
    <w:p w14:paraId="7EE8A5A1">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仿宋_GB2312" w:cs="Times New Roman"/>
          <w:color w:val="000000"/>
          <w:kern w:val="0"/>
          <w:sz w:val="32"/>
          <w:szCs w:val="32"/>
          <w:lang w:val="en-US" w:eastAsia="zh-CN"/>
        </w:rPr>
        <w:t>产教融合赋能新兴产业发展路径研究</w:t>
      </w:r>
    </w:p>
    <w:p w14:paraId="7E791B6D">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方正仿宋_GBK" w:cs="Times New Roman"/>
          <w:color w:val="auto"/>
          <w:sz w:val="32"/>
          <w:szCs w:val="32"/>
        </w:rPr>
        <w:t>数字时代世界文化遗产的年轻化传播——大足石刻出圈现象的传播学审视</w:t>
      </w:r>
    </w:p>
    <w:p w14:paraId="7D355BC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rPr>
        <w:t>集团营销的运行逻辑、效能评估与优化路径</w:t>
      </w:r>
    </w:p>
    <w:p w14:paraId="129D8DE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9.文旅深度融合中“过夜经济” 生成机制与场景建构研究</w:t>
      </w:r>
    </w:p>
    <w:p w14:paraId="3B3D8C39">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10.巴蜀文化旅游走廊下跨区域文旅共同体构建研究</w:t>
      </w:r>
    </w:p>
    <w:p w14:paraId="1AD7AC5A">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组团式城市城乡融合空间重构与治理现代化研究</w:t>
      </w:r>
    </w:p>
    <w:p w14:paraId="0679E6C2">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“和美乡村”建设中艺术赋能与乡村公共价值创造研究</w:t>
      </w:r>
    </w:p>
    <w:p w14:paraId="56410F59">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en-US" w:eastAsia="zh-CN"/>
        </w:rPr>
        <w:t>农村综合改革与共同富裕的联动机理研究</w:t>
      </w:r>
    </w:p>
    <w:p w14:paraId="755EDEB6">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val="en-US" w:eastAsia="zh-CN"/>
        </w:rPr>
        <w:t>城市更新中“存量焕新”的风险防控与价值提升</w:t>
      </w:r>
    </w:p>
    <w:p w14:paraId="70795DC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15分钟高品质生活服务圈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的城乡均等化实现路径与评价体系研究</w:t>
      </w:r>
    </w:p>
    <w:p w14:paraId="2785F3BE">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lang w:val="en-US" w:eastAsia="zh-CN"/>
        </w:rPr>
        <w:t>“产业培育专班”运行机制、治理效能与优化策略</w:t>
      </w:r>
    </w:p>
    <w:p w14:paraId="62AD6A0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lang w:val="en-US" w:eastAsia="zh-CN"/>
        </w:rPr>
        <w:t>营商环境“企业感知”与政策落地偏差矫正研究</w:t>
      </w:r>
    </w:p>
    <w:p w14:paraId="29DC76DF">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val="en-US" w:eastAsia="zh-CN"/>
        </w:rPr>
        <w:t>成渝地区市场采购贸易试点与区域开放型经济升级研究</w:t>
      </w:r>
    </w:p>
    <w:p w14:paraId="7E446C17">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lang w:val="en-US" w:eastAsia="zh-CN"/>
        </w:rPr>
        <w:t>基层智治体系下“多跨协同” 困境与破解路径</w:t>
      </w:r>
    </w:p>
    <w:p w14:paraId="2E45D7E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20.成渝中部教育高地建设对人口结构的吸附效应与机制研究</w:t>
      </w:r>
    </w:p>
    <w:p w14:paraId="14BD651A">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21.优质医疗资源下沉与区域医疗服务体系韧性提升研究</w:t>
      </w:r>
    </w:p>
    <w:p w14:paraId="5D428FD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22.</w:t>
      </w:r>
      <w:r>
        <w:rPr>
          <w:rFonts w:hint="default" w:ascii="Times New Roman" w:hAnsi="Times New Roman" w:eastAsia="方正仿宋_GBK" w:cs="Times New Roman"/>
          <w:color w:val="auto"/>
          <w:kern w:val="2"/>
          <w:sz w:val="32"/>
          <w:szCs w:val="32"/>
          <w:lang w:val="en-US" w:eastAsia="zh-CN" w:bidi="ar-SA"/>
        </w:rPr>
        <w:t>世界文化遗产活化与城市文化软实力提升研究</w:t>
      </w:r>
    </w:p>
    <w:p w14:paraId="3A1F6920">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23.青年发展型城市建设与区域人才留驻率提升的研究</w:t>
      </w:r>
    </w:p>
    <w:p w14:paraId="6B88034F">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24.老年友好型城市适老化改造与基层治理智慧化路径研究</w:t>
      </w:r>
    </w:p>
    <w:p w14:paraId="4925BD3D">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25.婚育友好型城市构建与生育支持政策体系优化研究</w:t>
      </w:r>
    </w:p>
    <w:p w14:paraId="126E2F18">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26.儿童友好型城市建设与儿童友好空间供给机制研究</w:t>
      </w:r>
    </w:p>
    <w:p w14:paraId="4E020E7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27.区域</w:t>
      </w:r>
      <w:r>
        <w:rPr>
          <w:rFonts w:hint="default" w:ascii="Times New Roman" w:hAnsi="Times New Roman" w:eastAsia="方正仿宋_GBK" w:cs="Times New Roman"/>
          <w:color w:val="auto"/>
          <w:kern w:val="0"/>
          <w:sz w:val="32"/>
          <w:szCs w:val="32"/>
          <w:lang w:val="en-US" w:eastAsia="zh-CN"/>
        </w:rPr>
        <w:t>国家安全重点领域风险协同治理机制研究</w:t>
      </w:r>
    </w:p>
    <w:p w14:paraId="6498D879">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28</w:t>
      </w:r>
      <w:r>
        <w:rPr>
          <w:rFonts w:hint="default" w:ascii="Times New Roman" w:hAnsi="Times New Roman" w:eastAsia="方正仿宋_GBK" w:cs="Times New Roman"/>
          <w:color w:val="auto"/>
          <w:kern w:val="0"/>
          <w:sz w:val="32"/>
          <w:szCs w:val="32"/>
          <w:lang w:val="en-US" w:eastAsia="zh-CN"/>
        </w:rPr>
        <w:t>.大足石刻文化IP全域开发与文创产业高质量发展研究</w:t>
      </w:r>
    </w:p>
    <w:p w14:paraId="6498FE23">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lang w:val="en-US" w:eastAsia="zh-CN"/>
        </w:rPr>
        <w:t>.推动情绪经济与大足文旅产业融合发展的研究</w:t>
      </w:r>
    </w:p>
    <w:p w14:paraId="7C838E61">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lang w:val="en-US" w:eastAsia="zh-CN"/>
        </w:rPr>
        <w:t>.大足区“246”特色产业集群培育的政策成效与升级路径研究</w:t>
      </w:r>
    </w:p>
    <w:p w14:paraId="1FE64D94">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31</w:t>
      </w:r>
      <w:r>
        <w:rPr>
          <w:rFonts w:hint="default" w:ascii="Times New Roman" w:hAnsi="Times New Roman" w:eastAsia="方正仿宋_GBK" w:cs="Times New Roman"/>
          <w:color w:val="auto"/>
          <w:kern w:val="0"/>
          <w:sz w:val="32"/>
          <w:szCs w:val="32"/>
          <w:lang w:val="en-US" w:eastAsia="zh-CN"/>
        </w:rPr>
        <w:t>.大足区创响“1224”营商环境服务品牌的实践路径与优化策略</w:t>
      </w:r>
    </w:p>
    <w:p w14:paraId="1A51C763">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32</w:t>
      </w:r>
      <w:r>
        <w:rPr>
          <w:rFonts w:hint="default" w:ascii="Times New Roman" w:hAnsi="Times New Roman" w:eastAsia="方正仿宋_GBK" w:cs="Times New Roman"/>
          <w:color w:val="auto"/>
          <w:kern w:val="0"/>
          <w:sz w:val="32"/>
          <w:szCs w:val="32"/>
          <w:lang w:val="en-US" w:eastAsia="zh-CN"/>
        </w:rPr>
        <w:t>.生成式人工智能内容治理的“技术-法律-伦理”协同框架构建</w:t>
      </w:r>
    </w:p>
    <w:p w14:paraId="7AF383E8">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33</w:t>
      </w:r>
      <w:r>
        <w:rPr>
          <w:rFonts w:hint="default" w:ascii="Times New Roman" w:hAnsi="Times New Roman" w:eastAsia="方正仿宋_GBK" w:cs="Times New Roman"/>
          <w:color w:val="auto"/>
          <w:kern w:val="0"/>
          <w:sz w:val="32"/>
          <w:szCs w:val="32"/>
          <w:lang w:val="en-US" w:eastAsia="zh-CN"/>
        </w:rPr>
        <w:t>.大足区公共文化服务体系提质增效与群众文化获得感提升研究</w:t>
      </w:r>
    </w:p>
    <w:p w14:paraId="56F760BD">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34</w:t>
      </w:r>
      <w:r>
        <w:rPr>
          <w:rFonts w:hint="default" w:ascii="Times New Roman" w:hAnsi="Times New Roman" w:eastAsia="方正仿宋_GBK" w:cs="Times New Roman"/>
          <w:color w:val="auto"/>
          <w:kern w:val="0"/>
          <w:sz w:val="32"/>
          <w:szCs w:val="32"/>
          <w:lang w:val="en-US" w:eastAsia="zh-CN"/>
        </w:rPr>
        <w:t>.推动大足文化事业高质量发展的路径研究</w:t>
      </w:r>
    </w:p>
    <w:p w14:paraId="38A141E8">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kern w:val="0"/>
          <w:sz w:val="32"/>
          <w:szCs w:val="32"/>
          <w:lang w:val="en-US" w:eastAsia="zh-CN"/>
        </w:rPr>
        <w:t>35</w:t>
      </w:r>
      <w:r>
        <w:rPr>
          <w:rFonts w:hint="default" w:ascii="Times New Roman" w:hAnsi="Times New Roman" w:eastAsia="方正仿宋_GBK" w:cs="Times New Roman"/>
          <w:color w:val="auto"/>
          <w:kern w:val="0"/>
          <w:sz w:val="32"/>
          <w:szCs w:val="32"/>
          <w:lang w:val="en-US" w:eastAsia="zh-CN"/>
        </w:rPr>
        <w:t>.新时代全民国防教育问题及对策研究</w:t>
      </w:r>
    </w:p>
    <w:p w14:paraId="6B007F60">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36</w:t>
      </w:r>
      <w:r>
        <w:rPr>
          <w:rFonts w:hint="default" w:ascii="Times New Roman" w:hAnsi="Times New Roman" w:eastAsia="方正仿宋_GBK" w:cs="Times New Roman"/>
          <w:color w:val="auto"/>
          <w:kern w:val="0"/>
          <w:sz w:val="32"/>
          <w:szCs w:val="32"/>
          <w:lang w:val="en-US" w:eastAsia="zh-CN"/>
        </w:rPr>
        <w:t>.工业文化遗产融入学校教育路径研究</w:t>
      </w:r>
    </w:p>
    <w:p w14:paraId="785E39CF">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37</w:t>
      </w:r>
      <w:r>
        <w:rPr>
          <w:rFonts w:hint="default" w:ascii="Times New Roman" w:hAnsi="Times New Roman" w:eastAsia="方正仿宋_GBK" w:cs="Times New Roman"/>
          <w:color w:val="auto"/>
          <w:kern w:val="0"/>
          <w:sz w:val="32"/>
          <w:szCs w:val="32"/>
          <w:lang w:val="en-US" w:eastAsia="zh-CN"/>
        </w:rPr>
        <w:t>.老龄化与少子化双重压力下生育支持政策的成本效益与代际公平研究</w:t>
      </w:r>
    </w:p>
    <w:p w14:paraId="4D232DD7">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38</w:t>
      </w:r>
      <w:r>
        <w:rPr>
          <w:rFonts w:hint="default" w:ascii="Times New Roman" w:hAnsi="Times New Roman" w:eastAsia="方正仿宋_GBK" w:cs="Times New Roman"/>
          <w:color w:val="auto"/>
          <w:kern w:val="0"/>
          <w:sz w:val="32"/>
          <w:szCs w:val="32"/>
          <w:lang w:val="en-US" w:eastAsia="zh-CN"/>
        </w:rPr>
        <w:t>.具身智能技术与养老服务深度融合的研究</w:t>
      </w:r>
    </w:p>
    <w:p w14:paraId="3BB9ABBE">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39</w:t>
      </w:r>
      <w:r>
        <w:rPr>
          <w:rFonts w:hint="default" w:ascii="Times New Roman" w:hAnsi="Times New Roman" w:eastAsia="方正仿宋_GBK" w:cs="Times New Roman"/>
          <w:color w:val="auto"/>
          <w:kern w:val="0"/>
          <w:sz w:val="32"/>
          <w:szCs w:val="32"/>
          <w:lang w:val="en-US" w:eastAsia="zh-CN"/>
        </w:rPr>
        <w:t>.数字健康应用场景的开发研究</w:t>
      </w:r>
    </w:p>
    <w:p w14:paraId="499B4326">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40</w:t>
      </w:r>
      <w:r>
        <w:rPr>
          <w:rFonts w:hint="default" w:ascii="Times New Roman" w:hAnsi="Times New Roman" w:eastAsia="方正仿宋_GBK" w:cs="Times New Roman"/>
          <w:color w:val="auto"/>
          <w:kern w:val="0"/>
          <w:sz w:val="32"/>
          <w:szCs w:val="32"/>
          <w:lang w:val="en-US" w:eastAsia="zh-CN"/>
        </w:rPr>
        <w:t>.公共卫生突发事件中疫苗犹豫的社会心理机制与精准干预策略</w:t>
      </w:r>
    </w:p>
    <w:p w14:paraId="4431D95C">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eastAsia="方正仿宋_GBK" w:cs="Times New Roman"/>
          <w:color w:val="auto"/>
          <w:kern w:val="2"/>
          <w:sz w:val="32"/>
          <w:szCs w:val="32"/>
          <w:lang w:val="en-US" w:eastAsia="zh-CN" w:bidi="ar-SA"/>
        </w:rPr>
      </w:pPr>
    </w:p>
    <w:p w14:paraId="48044465">
      <w:pPr>
        <w:pStyle w:val="2"/>
        <w:keepNext w:val="0"/>
        <w:keepLines w:val="0"/>
        <w:pageBreakBefore w:val="0"/>
        <w:kinsoku/>
        <w:wordWrap/>
        <w:overflowPunct/>
        <w:topLinePunct w:val="0"/>
        <w:autoSpaceDE/>
        <w:autoSpaceDN/>
        <w:bidi w:val="0"/>
        <w:adjustRightInd w:val="0"/>
        <w:snapToGrid w:val="0"/>
        <w:spacing w:line="600" w:lineRule="exact"/>
        <w:ind w:firstLine="0" w:firstLineChars="0"/>
        <w:jc w:val="left"/>
        <w:outlineLvl w:val="9"/>
        <w:rPr>
          <w:rFonts w:hint="default" w:ascii="Times New Roman" w:hAnsi="Times New Roman" w:eastAsia="方正仿宋_GBK" w:cs="方正仿宋_GBK"/>
          <w:b w:val="0"/>
          <w:bCs w:val="0"/>
          <w:color w:val="auto"/>
          <w:sz w:val="32"/>
          <w:szCs w:val="32"/>
          <w:lang w:val="en-US" w:eastAsia="zh-CN"/>
        </w:rPr>
      </w:pPr>
    </w:p>
    <w:p w14:paraId="5EFC36EF">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
          <w:bCs/>
          <w:sz w:val="32"/>
          <w:szCs w:val="32"/>
        </w:rPr>
      </w:pPr>
    </w:p>
    <w:p w14:paraId="0CEB817D">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附件 2</w:t>
      </w:r>
    </w:p>
    <w:p w14:paraId="7A8991C1">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jc w:val="center"/>
        <w:textAlignment w:val="baseline"/>
        <w:rPr>
          <w:rFonts w:hint="eastAsia" w:ascii="方正公文小标宋" w:hAnsi="方正公文小标宋" w:eastAsia="方正公文小标宋" w:cs="方正公文小标宋"/>
          <w:sz w:val="44"/>
          <w:szCs w:val="44"/>
          <w:lang w:eastAsia="zh-CN"/>
        </w:rPr>
      </w:pPr>
    </w:p>
    <w:p w14:paraId="087B3838">
      <w:pPr>
        <w:keepNext w:val="0"/>
        <w:keepLines w:val="0"/>
        <w:pageBreakBefore w:val="0"/>
        <w:widowControl/>
        <w:kinsoku w:val="0"/>
        <w:wordWrap/>
        <w:overflowPunct/>
        <w:topLinePunct w:val="0"/>
        <w:autoSpaceDE w:val="0"/>
        <w:autoSpaceDN w:val="0"/>
        <w:bidi w:val="0"/>
        <w:adjustRightInd w:val="0"/>
        <w:snapToGrid w:val="0"/>
        <w:spacing w:line="594" w:lineRule="exact"/>
        <w:ind w:firstLine="0" w:firstLineChars="0"/>
        <w:jc w:val="center"/>
        <w:textAlignment w:val="baseline"/>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最终成果规范格式</w:t>
      </w:r>
    </w:p>
    <w:p w14:paraId="1F840D9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仿宋_GB2312" w:hAnsi="方正仿宋_GB2312" w:eastAsia="方正仿宋_GB2312" w:cs="方正仿宋_GB2312"/>
          <w:sz w:val="32"/>
          <w:szCs w:val="32"/>
        </w:rPr>
      </w:pPr>
    </w:p>
    <w:p w14:paraId="6B5596FE">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eastAsia" w:ascii="方正仿宋_GB2312" w:hAnsi="方正仿宋_GB2312" w:eastAsia="方正仿宋_GB2312" w:cs="方正仿宋_GB2312"/>
          <w:sz w:val="32"/>
          <w:szCs w:val="32"/>
        </w:rPr>
        <w:t>摘  要</w:t>
      </w:r>
      <w:r>
        <w:rPr>
          <w:rFonts w:hint="default" w:ascii="Times New Roman" w:hAnsi="Times New Roman" w:eastAsia="方正仿宋_GB2312" w:cs="Times New Roman"/>
          <w:sz w:val="32"/>
          <w:szCs w:val="32"/>
        </w:rPr>
        <w:t>：200字左右，要求能精炼概括主要内容、问题及建议</w:t>
      </w:r>
    </w:p>
    <w:p w14:paraId="3C5B864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关键词：3-5 个</w:t>
      </w:r>
    </w:p>
    <w:p w14:paraId="2C7794D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一、正文字体</w:t>
      </w:r>
    </w:p>
    <w:p w14:paraId="3B77874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标题方正小标宋二号 ，一级标题方正黑体三号，二级</w:t>
      </w:r>
    </w:p>
    <w:p w14:paraId="13EC622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标题方正楷体三号。</w:t>
      </w:r>
    </w:p>
    <w:p w14:paraId="0478D231">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正文用方正仿宋 GBK 三号，行间距 30 磅，页边距 A4 纸：左3cm</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右2.5cm ；上2.8cm，下2.5cm。</w:t>
      </w:r>
    </w:p>
    <w:p w14:paraId="44777E5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正文最后注明作者工作单位全称、详细通信地址、联系电</w:t>
      </w:r>
    </w:p>
    <w:p w14:paraId="4E825451">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话及电子信箱地址。</w:t>
      </w:r>
    </w:p>
    <w:p w14:paraId="4A9F532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黑体" w:cs="Times New Roman"/>
          <w:sz w:val="32"/>
          <w:szCs w:val="32"/>
        </w:rPr>
        <w:t>二、标题序号标号</w:t>
      </w:r>
    </w:p>
    <w:p w14:paraId="55E936A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一级标号：一、二、三 ……</w:t>
      </w:r>
    </w:p>
    <w:p w14:paraId="7AE2A57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二级标号：（一）（二）（三） ……</w:t>
      </w:r>
    </w:p>
    <w:p w14:paraId="4DE3F67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三级标号：1</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2</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3……</w:t>
      </w:r>
    </w:p>
    <w:p w14:paraId="66CE2B6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三、图表标号</w:t>
      </w:r>
    </w:p>
    <w:p w14:paraId="1B1F489D">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图：图1、图2、图3……（标在图下方）</w:t>
      </w:r>
    </w:p>
    <w:p w14:paraId="5F99FA6E">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表：表1、表2、表3……（标在表上方）</w:t>
      </w:r>
    </w:p>
    <w:p w14:paraId="1A12FFF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四、页码</w:t>
      </w:r>
    </w:p>
    <w:p w14:paraId="2CE65F18">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第一页起至参考文献结束止。</w:t>
      </w:r>
    </w:p>
    <w:p w14:paraId="2C13523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五、注释</w:t>
      </w:r>
    </w:p>
    <w:p w14:paraId="7069307F">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w:t>
      </w:r>
    </w:p>
    <w:p w14:paraId="15D79CAD">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w:t>
      </w:r>
    </w:p>
    <w:p w14:paraId="79B88495">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六、参考文献</w:t>
      </w:r>
    </w:p>
    <w:p w14:paraId="4EAFF563">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期刊类：[序号用阿拉伯数字]作者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篇名[J]．刊名，出版年份，卷号（期号）。</w:t>
      </w:r>
    </w:p>
    <w:p w14:paraId="64724D9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专著类：[序号用阿拉伯数字]作者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书名[M]．出版地：出版社，出版年份。</w:t>
      </w:r>
    </w:p>
    <w:p w14:paraId="3CB1487A">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条例规章制度文件类：[序号]颁布单位</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文件名称（文号）发布日期。</w:t>
      </w:r>
    </w:p>
    <w:p w14:paraId="1316D8C3">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4</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报纸类：[序号]作者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篇名[N]</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报纸名，出版日期（版次）</w:t>
      </w:r>
      <w:r>
        <w:rPr>
          <w:rFonts w:hint="default" w:ascii="Times New Roman" w:hAnsi="Times New Roman" w:eastAsia="方正仿宋_GB2312" w:cs="Times New Roman"/>
          <w:sz w:val="32"/>
          <w:szCs w:val="32"/>
          <w:lang w:eastAsia="zh-CN"/>
        </w:rPr>
        <w:t>。</w:t>
      </w:r>
    </w:p>
    <w:p w14:paraId="3B542D54">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5</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专利类：[序号]作者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专利题名[P]．国别(或地区)：专利号</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出版日期。</w:t>
      </w:r>
    </w:p>
    <w:p w14:paraId="609CCEF7">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6</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学位论文类：[序号]作者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论文题名[D]．城市名：授予学位单位全称，出版年。</w:t>
      </w:r>
    </w:p>
    <w:p w14:paraId="59FFE7A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7</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会议文献类</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 [序号]作者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会议文集名称[C]</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会议地点，年份</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出版地：出版者，出版年。</w:t>
      </w:r>
    </w:p>
    <w:p w14:paraId="563C5262">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8</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国际、国家标准类</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 xml:space="preserve"> [序号]标准编号．标准名称[S] .</w:t>
      </w:r>
    </w:p>
    <w:p w14:paraId="3BC86896">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9</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报告类：[序号]作者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报告题名[R]</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出版地：出版者</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出版年。</w:t>
      </w:r>
    </w:p>
    <w:p w14:paraId="05CAF0DE">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ascii="Arial"/>
          <w:sz w:val="21"/>
        </w:rPr>
      </w:pPr>
      <w:r>
        <w:rPr>
          <w:rFonts w:hint="default" w:ascii="Times New Roman" w:hAnsi="Times New Roman" w:eastAsia="方正仿宋_GB2312" w:cs="Times New Roman"/>
          <w:sz w:val="32"/>
          <w:szCs w:val="32"/>
        </w:rPr>
        <w:t>10</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电子文献类：[序号]作者</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电子文献题名[电子文献及载体类型]．电子文献的出处或可获得地址，发表或更新日期。</w:t>
      </w:r>
    </w:p>
    <w:sectPr>
      <w:footerReference r:id="rId5" w:type="default"/>
      <w:pgSz w:w="11906" w:h="16838"/>
      <w:pgMar w:top="1431" w:right="1445" w:bottom="1106" w:left="1445"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DB0410-EAED-4D4A-89E1-145E8F0DD0A8}"/>
  </w:font>
  <w:font w:name="黑体">
    <w:panose1 w:val="02010609060101010101"/>
    <w:charset w:val="86"/>
    <w:family w:val="auto"/>
    <w:pitch w:val="default"/>
    <w:sig w:usb0="800002BF" w:usb1="38CF7CFA" w:usb2="00000016" w:usb3="00000000" w:csb0="00040001" w:csb1="00000000"/>
    <w:embedRegular r:id="rId2" w:fontKey="{297A094C-830A-4272-B567-8A74D7FF04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AB32FC53-37DA-413D-997F-BAC026F1BA27}"/>
  </w:font>
  <w:font w:name="方正仿宋_GBK">
    <w:panose1 w:val="02000000000000000000"/>
    <w:charset w:val="86"/>
    <w:family w:val="auto"/>
    <w:pitch w:val="default"/>
    <w:sig w:usb0="A00002BF" w:usb1="38CF7CFA" w:usb2="00082016" w:usb3="00000000" w:csb0="00040001" w:csb1="00000000"/>
    <w:embedRegular r:id="rId4" w:fontKey="{CA1D48DA-967C-4BA4-A711-55410E98D898}"/>
  </w:font>
  <w:font w:name="方正仿宋_GB2312">
    <w:panose1 w:val="02000000000000000000"/>
    <w:charset w:val="86"/>
    <w:family w:val="auto"/>
    <w:pitch w:val="default"/>
    <w:sig w:usb0="A00002BF" w:usb1="184F6CFA" w:usb2="00000012" w:usb3="00000000" w:csb0="00040001" w:csb1="00000000"/>
    <w:embedRegular r:id="rId5" w:fontKey="{6196D6F4-D574-4F57-8AC7-7C57AA3E9483}"/>
  </w:font>
  <w:font w:name="方正黑体_GBK">
    <w:panose1 w:val="02000000000000000000"/>
    <w:charset w:val="86"/>
    <w:family w:val="auto"/>
    <w:pitch w:val="default"/>
    <w:sig w:usb0="A00002BF" w:usb1="38CF7CFA" w:usb2="00082016" w:usb3="00000000" w:csb0="00040001" w:csb1="00000000"/>
    <w:embedRegular r:id="rId6" w:fontKey="{1BD36748-1A0A-42AA-B352-EF0D81131CA5}"/>
  </w:font>
  <w:font w:name="仿宋_GB2312">
    <w:panose1 w:val="02010609030101010101"/>
    <w:charset w:val="86"/>
    <w:family w:val="auto"/>
    <w:pitch w:val="default"/>
    <w:sig w:usb0="00000001" w:usb1="080E0000" w:usb2="00000000" w:usb3="00000000" w:csb0="00040000" w:csb1="00000000"/>
    <w:embedRegular r:id="rId7" w:fontKey="{FF8A8557-D195-45F2-BB74-999BBB5FD244}"/>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75AD">
    <w:pPr>
      <w:spacing w:line="188" w:lineRule="auto"/>
      <w:ind w:left="5"/>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93A8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E93A8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JlN2ZjZTA5YWNlM2ZlOWEzNTc0MTBjZTdmMWVlYTEifQ=="/>
  </w:docVars>
  <w:rsids>
    <w:rsidRoot w:val="00000000"/>
    <w:rsid w:val="039C4884"/>
    <w:rsid w:val="160605AA"/>
    <w:rsid w:val="20803ABF"/>
    <w:rsid w:val="234914CD"/>
    <w:rsid w:val="23ED5B1A"/>
    <w:rsid w:val="240129F5"/>
    <w:rsid w:val="26303FE7"/>
    <w:rsid w:val="27EE665D"/>
    <w:rsid w:val="32A82F7C"/>
    <w:rsid w:val="330356A7"/>
    <w:rsid w:val="347D6A46"/>
    <w:rsid w:val="3C584601"/>
    <w:rsid w:val="48656ACB"/>
    <w:rsid w:val="4CD31B6F"/>
    <w:rsid w:val="4FC9558B"/>
    <w:rsid w:val="54745D6B"/>
    <w:rsid w:val="554C1DF1"/>
    <w:rsid w:val="57886F4B"/>
    <w:rsid w:val="5CCA3F47"/>
    <w:rsid w:val="61652F93"/>
    <w:rsid w:val="63993DD4"/>
    <w:rsid w:val="668134AF"/>
    <w:rsid w:val="66F56854"/>
    <w:rsid w:val="6B8678B6"/>
    <w:rsid w:val="6CA90E5E"/>
    <w:rsid w:val="6D724AE6"/>
    <w:rsid w:val="71FA09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hAnsi="Calibri"/>
    </w:rPr>
  </w:style>
  <w:style w:type="paragraph" w:styleId="3">
    <w:name w:val="index 5"/>
    <w:basedOn w:val="1"/>
    <w:next w:val="1"/>
    <w:qFormat/>
    <w:uiPriority w:val="0"/>
    <w:pPr>
      <w:ind w:left="1680"/>
    </w:pPr>
  </w:style>
  <w:style w:type="paragraph" w:styleId="4">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1820</Words>
  <Characters>1930</Characters>
  <TotalTime>194</TotalTime>
  <ScaleCrop>false</ScaleCrop>
  <LinksUpToDate>false</LinksUpToDate>
  <CharactersWithSpaces>1966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2025-06-12T16:51:00Z</dcterms:created>
  <dc:creator>Administrator</dc:creator>
  <cp:lastModifiedBy>Administrator</cp:lastModifiedBy>
  <cp:lastPrinted>2026-06-23T02:33:00Z</cp:lastPrinted>
  <dcterms:modified xsi:type="dcterms:W3CDTF">2026-07-07T06:47:32Z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2026-03-24T10:33:53Z</vt:filetime>
  </property>
  <property fmtid="{D5CDD505-2E9C-101B-9397-08002B2CF9AE}" pid="4" name="KSOProductBuildVer">
    <vt:lpwstr>2052-12.1.0.26895</vt:lpwstr>
  </property>
  <property fmtid="{D5CDD505-2E9C-101B-9397-08002B2CF9AE}" pid="5" name="ICV">
    <vt:lpwstr>B5858316E4AF437493733E729D6F6C88_12</vt:lpwstr>
  </property>
  <property fmtid="{D5CDD505-2E9C-101B-9397-08002B2CF9AE}" pid="6" name="KSOTemplateDocerSaveRecord">
    <vt:lpwstr>eyJoZGlkIjoiYjcwYWI5YTM4M2JlY2MxOTQzZDA5ODg5MDNhMmU4NDkifQ==</vt:lpwstr>
  </property>
</Properties>
</file>