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1E5B3">
      <w:pPr>
        <w:keepNext w:val="0"/>
        <w:keepLines w:val="0"/>
        <w:pageBreakBefore w:val="0"/>
        <w:widowControl w:val="0"/>
        <w:kinsoku/>
        <w:wordWrap/>
        <w:overflowPunct/>
        <w:topLinePunct w:val="0"/>
        <w:autoSpaceDE/>
        <w:autoSpaceDN/>
        <w:bidi w:val="0"/>
        <w:adjustRightInd/>
        <w:snapToGrid w:val="0"/>
        <w:spacing w:line="520" w:lineRule="exact"/>
        <w:ind w:left="0" w:leftChars="0" w:right="0" w:rightChars="0" w:firstLine="0" w:firstLineChars="0"/>
        <w:jc w:val="center"/>
        <w:textAlignment w:val="auto"/>
        <w:outlineLvl w:val="9"/>
        <w:rPr>
          <w:rFonts w:hint="eastAsia" w:ascii="方正仿宋_GBK" w:hAnsi="方正仿宋_GBK" w:eastAsia="方正仿宋_GBK" w:cs="方正仿宋_GBK"/>
          <w:b/>
          <w:bCs/>
          <w:color w:val="auto"/>
          <w:kern w:val="0"/>
          <w:sz w:val="28"/>
          <w:szCs w:val="28"/>
        </w:rPr>
      </w:pPr>
      <w:r>
        <w:rPr>
          <w:rFonts w:hint="eastAsia" w:ascii="方正仿宋_GBK" w:hAnsi="方正仿宋_GBK" w:eastAsia="方正仿宋_GBK" w:cs="方正仿宋_GBK"/>
          <w:b/>
          <w:bCs/>
          <w:color w:val="auto"/>
          <w:kern w:val="0"/>
          <w:sz w:val="28"/>
          <w:szCs w:val="28"/>
        </w:rPr>
        <w:t>重庆市人民政府关于</w:t>
      </w:r>
    </w:p>
    <w:p w14:paraId="46D624DE">
      <w:pPr>
        <w:keepNext w:val="0"/>
        <w:keepLines w:val="0"/>
        <w:pageBreakBefore w:val="0"/>
        <w:widowControl w:val="0"/>
        <w:kinsoku/>
        <w:wordWrap/>
        <w:overflowPunct/>
        <w:topLinePunct w:val="0"/>
        <w:autoSpaceDE/>
        <w:autoSpaceDN/>
        <w:bidi w:val="0"/>
        <w:adjustRightInd/>
        <w:snapToGrid w:val="0"/>
        <w:spacing w:line="520" w:lineRule="exact"/>
        <w:ind w:left="0" w:leftChars="0" w:right="0" w:rightChars="0" w:firstLine="0" w:firstLineChars="0"/>
        <w:jc w:val="center"/>
        <w:textAlignment w:val="auto"/>
        <w:outlineLvl w:val="9"/>
        <w:rPr>
          <w:rFonts w:hint="eastAsia" w:ascii="方正仿宋_GBK" w:hAnsi="方正仿宋_GBK" w:eastAsia="方正仿宋_GBK" w:cs="方正仿宋_GBK"/>
          <w:b/>
          <w:bCs/>
          <w:color w:val="auto"/>
          <w:kern w:val="0"/>
          <w:sz w:val="28"/>
          <w:szCs w:val="28"/>
        </w:rPr>
      </w:pPr>
      <w:r>
        <w:rPr>
          <w:rFonts w:hint="eastAsia" w:ascii="方正仿宋_GBK" w:hAnsi="方正仿宋_GBK" w:eastAsia="方正仿宋_GBK" w:cs="方正仿宋_GBK"/>
          <w:b/>
          <w:bCs/>
          <w:color w:val="auto"/>
          <w:kern w:val="0"/>
          <w:sz w:val="28"/>
          <w:szCs w:val="28"/>
        </w:rPr>
        <w:t>印发《重庆市“十五五”人工智能发展</w:t>
      </w:r>
    </w:p>
    <w:p w14:paraId="1612B120">
      <w:pPr>
        <w:keepNext w:val="0"/>
        <w:keepLines w:val="0"/>
        <w:pageBreakBefore w:val="0"/>
        <w:widowControl w:val="0"/>
        <w:kinsoku/>
        <w:wordWrap/>
        <w:overflowPunct/>
        <w:topLinePunct w:val="0"/>
        <w:autoSpaceDE/>
        <w:autoSpaceDN/>
        <w:bidi w:val="0"/>
        <w:adjustRightInd/>
        <w:snapToGrid w:val="0"/>
        <w:spacing w:line="520" w:lineRule="exact"/>
        <w:ind w:left="0" w:leftChars="0" w:right="0" w:rightChars="0" w:firstLine="0" w:firstLineChars="0"/>
        <w:jc w:val="center"/>
        <w:textAlignment w:val="auto"/>
        <w:outlineLvl w:val="9"/>
        <w:rPr>
          <w:rFonts w:hint="eastAsia" w:ascii="方正仿宋_GBK" w:hAnsi="方正仿宋_GBK" w:eastAsia="方正仿宋_GBK" w:cs="方正仿宋_GBK"/>
          <w:b/>
          <w:bCs/>
          <w:color w:val="auto"/>
          <w:kern w:val="0"/>
          <w:sz w:val="28"/>
          <w:szCs w:val="28"/>
        </w:rPr>
      </w:pPr>
      <w:r>
        <w:rPr>
          <w:rFonts w:hint="eastAsia" w:ascii="方正仿宋_GBK" w:hAnsi="方正仿宋_GBK" w:eastAsia="方正仿宋_GBK" w:cs="方正仿宋_GBK"/>
          <w:b/>
          <w:bCs/>
          <w:color w:val="auto"/>
          <w:kern w:val="0"/>
          <w:sz w:val="28"/>
          <w:szCs w:val="28"/>
        </w:rPr>
        <w:t>规划（2026—2030年</w:t>
      </w:r>
      <w:bookmarkStart w:id="31" w:name="_GoBack"/>
      <w:bookmarkEnd w:id="31"/>
      <w:r>
        <w:rPr>
          <w:rFonts w:hint="eastAsia" w:ascii="方正仿宋_GBK" w:hAnsi="方正仿宋_GBK" w:eastAsia="方正仿宋_GBK" w:cs="方正仿宋_GBK"/>
          <w:b/>
          <w:bCs/>
          <w:color w:val="auto"/>
          <w:kern w:val="0"/>
          <w:sz w:val="28"/>
          <w:szCs w:val="28"/>
        </w:rPr>
        <w:t>）》的通知</w:t>
      </w:r>
    </w:p>
    <w:p w14:paraId="0784A99C">
      <w:pPr>
        <w:adjustRightInd w:val="0"/>
        <w:spacing w:line="312" w:lineRule="atLeast"/>
        <w:jc w:val="center"/>
        <w:textAlignment w:val="baseline"/>
        <w:rPr>
          <w:rFonts w:hint="eastAsia" w:ascii="方正仿宋_GBK" w:hAnsi="方正仿宋_GBK" w:eastAsia="方正仿宋_GBK" w:cs="方正仿宋_GBK"/>
          <w:b/>
          <w:bCs/>
          <w:kern w:val="0"/>
          <w:sz w:val="28"/>
          <w:szCs w:val="28"/>
          <w:lang w:eastAsia="zh-CN"/>
        </w:rPr>
      </w:pPr>
      <w:r>
        <w:rPr>
          <w:rFonts w:hint="eastAsia" w:ascii="方正仿宋_GBK" w:hAnsi="方正仿宋_GBK" w:eastAsia="方正仿宋_GBK" w:cs="方正仿宋_GBK"/>
          <w:b/>
          <w:bCs/>
          <w:color w:val="auto"/>
          <w:kern w:val="0"/>
          <w:sz w:val="28"/>
          <w:szCs w:val="28"/>
        </w:rPr>
        <w:t>渝府发〔202</w:t>
      </w:r>
      <w:r>
        <w:rPr>
          <w:rFonts w:hint="eastAsia" w:ascii="方正仿宋_GBK" w:hAnsi="方正仿宋_GBK" w:eastAsia="方正仿宋_GBK" w:cs="方正仿宋_GBK"/>
          <w:b/>
          <w:bCs/>
          <w:color w:val="auto"/>
          <w:kern w:val="0"/>
          <w:sz w:val="28"/>
          <w:szCs w:val="28"/>
          <w:lang w:val="en-US" w:eastAsia="zh-CN"/>
        </w:rPr>
        <w:t>6</w:t>
      </w:r>
      <w:r>
        <w:rPr>
          <w:rFonts w:hint="eastAsia" w:ascii="方正仿宋_GBK" w:hAnsi="方正仿宋_GBK" w:eastAsia="方正仿宋_GBK" w:cs="方正仿宋_GBK"/>
          <w:b/>
          <w:bCs/>
          <w:color w:val="auto"/>
          <w:kern w:val="0"/>
          <w:sz w:val="28"/>
          <w:szCs w:val="28"/>
        </w:rPr>
        <w:t>〕</w:t>
      </w:r>
      <w:r>
        <w:rPr>
          <w:rFonts w:hint="eastAsia" w:ascii="方正仿宋_GBK" w:hAnsi="方正仿宋_GBK" w:eastAsia="方正仿宋_GBK" w:cs="方正仿宋_GBK"/>
          <w:b/>
          <w:bCs/>
          <w:color w:val="auto"/>
          <w:kern w:val="0"/>
          <w:sz w:val="28"/>
          <w:szCs w:val="28"/>
          <w:lang w:val="en-US" w:eastAsia="zh-CN"/>
        </w:rPr>
        <w:t>20</w:t>
      </w:r>
      <w:r>
        <w:rPr>
          <w:rFonts w:hint="eastAsia" w:ascii="方正仿宋_GBK" w:hAnsi="方正仿宋_GBK" w:eastAsia="方正仿宋_GBK" w:cs="方正仿宋_GBK"/>
          <w:b/>
          <w:bCs/>
          <w:color w:val="auto"/>
          <w:kern w:val="0"/>
          <w:sz w:val="28"/>
          <w:szCs w:val="28"/>
        </w:rPr>
        <w:t>号</w:t>
      </w:r>
    </w:p>
    <w:p w14:paraId="5E6B21EC">
      <w:pPr>
        <w:keepNext w:val="0"/>
        <w:keepLines w:val="0"/>
        <w:pageBreakBefore w:val="0"/>
        <w:widowControl w:val="0"/>
        <w:kinsoku/>
        <w:wordWrap/>
        <w:overflowPunct/>
        <w:topLinePunct w:val="0"/>
        <w:autoSpaceDE/>
        <w:autoSpaceDN/>
        <w:bidi w:val="0"/>
        <w:adjustRightInd w:val="0"/>
        <w:snapToGrid w:val="0"/>
        <w:spacing w:line="480" w:lineRule="atLeas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p>
    <w:p w14:paraId="755FFFC4">
      <w:pPr>
        <w:keepNext w:val="0"/>
        <w:keepLines w:val="0"/>
        <w:pageBreakBefore w:val="0"/>
        <w:widowControl w:val="0"/>
        <w:kinsoku/>
        <w:wordWrap/>
        <w:overflowPunct/>
        <w:topLinePunct w:val="0"/>
        <w:autoSpaceDE/>
        <w:autoSpaceDN/>
        <w:bidi w:val="0"/>
        <w:adjustRightInd w:val="0"/>
        <w:snapToGrid w:val="0"/>
        <w:spacing w:line="480" w:lineRule="atLeast"/>
        <w:ind w:left="0" w:leftChars="0" w:right="0" w:rightChars="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各区县（自治县）人民政府，市政府各部门，有关单位：</w:t>
      </w:r>
    </w:p>
    <w:p w14:paraId="3162E308">
      <w:pPr>
        <w:keepNext w:val="0"/>
        <w:keepLines w:val="0"/>
        <w:pageBreakBefore w:val="0"/>
        <w:widowControl w:val="0"/>
        <w:kinsoku/>
        <w:wordWrap/>
        <w:overflowPunct/>
        <w:topLinePunct w:val="0"/>
        <w:autoSpaceDE/>
        <w:autoSpaceDN/>
        <w:bidi w:val="0"/>
        <w:adjustRightInd w:val="0"/>
        <w:snapToGrid w:val="0"/>
        <w:spacing w:line="480" w:lineRule="atLeas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现将《重庆市“十五五”人工智能发展规划（2026—2030年）》印发给你们，请认真贯彻执行。</w:t>
      </w:r>
    </w:p>
    <w:p w14:paraId="5FFC6D7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color w:val="auto"/>
          <w:kern w:val="0"/>
          <w:sz w:val="28"/>
          <w:szCs w:val="28"/>
        </w:rPr>
      </w:pPr>
    </w:p>
    <w:p w14:paraId="00EA9688">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color w:val="auto"/>
          <w:kern w:val="0"/>
          <w:sz w:val="28"/>
          <w:szCs w:val="28"/>
          <w:lang w:eastAsia="zh-CN"/>
        </w:rPr>
      </w:pPr>
    </w:p>
    <w:p w14:paraId="63508F36">
      <w:pPr>
        <w:pStyle w:val="5"/>
        <w:keepNext w:val="0"/>
        <w:keepLines w:val="0"/>
        <w:pageBreakBefore w:val="0"/>
        <w:widowControl w:val="0"/>
        <w:kinsoku/>
        <w:wordWrap/>
        <w:overflowPunct/>
        <w:topLinePunct w:val="0"/>
        <w:autoSpaceDE/>
        <w:autoSpaceDN/>
        <w:bidi w:val="0"/>
        <w:adjustRightInd w:val="0"/>
        <w:snapToGrid/>
        <w:spacing w:beforeLines="0" w:afterLines="0" w:line="500" w:lineRule="exact"/>
        <w:ind w:left="0" w:leftChars="0" w:right="0" w:rightChars="0" w:firstLine="560" w:firstLineChars="200"/>
        <w:jc w:val="both"/>
        <w:textAlignment w:val="auto"/>
        <w:outlineLvl w:val="2"/>
        <w:rPr>
          <w:rFonts w:hint="eastAsia" w:ascii="方正仿宋_GBK" w:hAnsi="方正仿宋_GBK" w:eastAsia="方正仿宋_GBK" w:cs="方正仿宋_GBK"/>
          <w:color w:val="auto"/>
          <w:sz w:val="28"/>
          <w:szCs w:val="28"/>
          <w:lang w:eastAsia="zh-CN"/>
        </w:rPr>
      </w:pPr>
    </w:p>
    <w:p w14:paraId="453E57B3">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690" w:firstLineChars="1675"/>
        <w:jc w:val="both"/>
        <w:textAlignment w:val="auto"/>
        <w:outlineLvl w:val="9"/>
        <w:rPr>
          <w:rFonts w:hint="eastAsia" w:ascii="方正仿宋_GBK" w:hAnsi="方正仿宋_GBK" w:eastAsia="方正仿宋_GBK" w:cs="方正仿宋_GBK"/>
          <w:color w:val="auto"/>
          <w:kern w:val="0"/>
          <w:sz w:val="28"/>
          <w:szCs w:val="28"/>
        </w:rPr>
      </w:pPr>
      <w:r>
        <w:rPr>
          <w:rFonts w:hint="eastAsia" w:ascii="方正仿宋_GBK" w:hAnsi="方正仿宋_GBK" w:eastAsia="方正仿宋_GBK" w:cs="方正仿宋_GBK"/>
          <w:color w:val="auto"/>
          <w:kern w:val="0"/>
          <w:sz w:val="28"/>
          <w:szCs w:val="28"/>
        </w:rPr>
        <w:t>重庆市人民政府</w:t>
      </w:r>
    </w:p>
    <w:p w14:paraId="5634AC32">
      <w:pPr>
        <w:keepNext w:val="0"/>
        <w:keepLines w:val="0"/>
        <w:pageBreakBefore w:val="0"/>
        <w:widowControl w:val="0"/>
        <w:kinsoku/>
        <w:wordWrap/>
        <w:overflowPunct/>
        <w:topLinePunct w:val="0"/>
        <w:autoSpaceDE/>
        <w:autoSpaceDN/>
        <w:bidi w:val="0"/>
        <w:adjustRightInd w:val="0"/>
        <w:snapToGrid/>
        <w:spacing w:line="240" w:lineRule="auto"/>
        <w:ind w:left="0" w:leftChars="0" w:right="840" w:rightChars="400" w:firstLine="560" w:firstLineChars="200"/>
        <w:jc w:val="right"/>
        <w:textAlignment w:val="auto"/>
        <w:outlineLvl w:val="9"/>
        <w:rPr>
          <w:rFonts w:hint="eastAsia" w:ascii="方正仿宋_GBK" w:hAnsi="方正仿宋_GBK" w:eastAsia="方正仿宋_GBK" w:cs="方正仿宋_GBK"/>
          <w:color w:val="auto"/>
          <w:kern w:val="0"/>
          <w:sz w:val="28"/>
          <w:szCs w:val="28"/>
        </w:rPr>
      </w:pPr>
      <w:r>
        <w:rPr>
          <w:rFonts w:hint="eastAsia" w:ascii="方正仿宋_GBK" w:hAnsi="方正仿宋_GBK" w:eastAsia="方正仿宋_GBK" w:cs="方正仿宋_GBK"/>
          <w:color w:val="auto"/>
          <w:kern w:val="0"/>
          <w:sz w:val="28"/>
          <w:szCs w:val="28"/>
        </w:rPr>
        <w:t>202</w:t>
      </w:r>
      <w:r>
        <w:rPr>
          <w:rFonts w:hint="eastAsia" w:ascii="方正仿宋_GBK" w:hAnsi="方正仿宋_GBK" w:eastAsia="方正仿宋_GBK" w:cs="方正仿宋_GBK"/>
          <w:color w:val="auto"/>
          <w:kern w:val="0"/>
          <w:sz w:val="28"/>
          <w:szCs w:val="28"/>
          <w:lang w:val="en-US" w:eastAsia="zh-CN"/>
        </w:rPr>
        <w:t>6</w:t>
      </w:r>
      <w:r>
        <w:rPr>
          <w:rFonts w:hint="eastAsia" w:ascii="方正仿宋_GBK" w:hAnsi="方正仿宋_GBK" w:eastAsia="方正仿宋_GBK" w:cs="方正仿宋_GBK"/>
          <w:color w:val="auto"/>
          <w:kern w:val="0"/>
          <w:sz w:val="28"/>
          <w:szCs w:val="28"/>
        </w:rPr>
        <w:t>年</w:t>
      </w:r>
      <w:r>
        <w:rPr>
          <w:rFonts w:hint="eastAsia" w:ascii="方正仿宋_GBK" w:hAnsi="方正仿宋_GBK" w:eastAsia="方正仿宋_GBK" w:cs="方正仿宋_GBK"/>
          <w:color w:val="auto"/>
          <w:kern w:val="0"/>
          <w:sz w:val="28"/>
          <w:szCs w:val="28"/>
          <w:lang w:val="en-US" w:eastAsia="zh-CN"/>
        </w:rPr>
        <w:t>7</w:t>
      </w:r>
      <w:r>
        <w:rPr>
          <w:rFonts w:hint="eastAsia" w:ascii="方正仿宋_GBK" w:hAnsi="方正仿宋_GBK" w:eastAsia="方正仿宋_GBK" w:cs="方正仿宋_GBK"/>
          <w:color w:val="auto"/>
          <w:kern w:val="0"/>
          <w:sz w:val="28"/>
          <w:szCs w:val="28"/>
        </w:rPr>
        <w:t>月</w:t>
      </w:r>
      <w:r>
        <w:rPr>
          <w:rFonts w:hint="eastAsia" w:ascii="方正仿宋_GBK" w:hAnsi="方正仿宋_GBK" w:eastAsia="方正仿宋_GBK" w:cs="方正仿宋_GBK"/>
          <w:color w:val="auto"/>
          <w:kern w:val="0"/>
          <w:sz w:val="28"/>
          <w:szCs w:val="28"/>
          <w:lang w:val="en-US" w:eastAsia="zh-CN"/>
        </w:rPr>
        <w:t>31</w:t>
      </w:r>
      <w:r>
        <w:rPr>
          <w:rFonts w:hint="eastAsia" w:ascii="方正仿宋_GBK" w:hAnsi="方正仿宋_GBK" w:eastAsia="方正仿宋_GBK" w:cs="方正仿宋_GBK"/>
          <w:color w:val="auto"/>
          <w:kern w:val="0"/>
          <w:sz w:val="28"/>
          <w:szCs w:val="28"/>
        </w:rPr>
        <w:t>日</w:t>
      </w:r>
    </w:p>
    <w:p w14:paraId="41A7498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（此件公开发布）</w:t>
      </w:r>
    </w:p>
    <w:p w14:paraId="19F9A894">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br w:type="page"/>
      </w:r>
    </w:p>
    <w:p w14:paraId="37620687">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p>
    <w:p w14:paraId="19AD7DDA">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0" w:firstLineChars="0"/>
        <w:jc w:val="center"/>
        <w:textAlignment w:val="auto"/>
        <w:outlineLvl w:val="0"/>
        <w:rPr>
          <w:rFonts w:hint="eastAsia" w:ascii="方正仿宋_GBK" w:hAnsi="方正仿宋_GBK" w:eastAsia="方正仿宋_GBK" w:cs="方正仿宋_GBK"/>
          <w:bCs/>
          <w:kern w:val="44"/>
          <w:sz w:val="28"/>
          <w:szCs w:val="28"/>
          <w:lang w:val="en-US" w:eastAsia="zh-CN" w:bidi="ar-SA"/>
        </w:rPr>
      </w:pPr>
      <w:r>
        <w:rPr>
          <w:rFonts w:hint="eastAsia" w:ascii="方正仿宋_GBK" w:hAnsi="方正仿宋_GBK" w:eastAsia="方正仿宋_GBK" w:cs="方正仿宋_GBK"/>
          <w:bCs/>
          <w:kern w:val="44"/>
          <w:sz w:val="28"/>
          <w:szCs w:val="28"/>
          <w:lang w:val="en-US" w:eastAsia="zh-CN" w:bidi="ar-SA"/>
        </w:rPr>
        <w:t>重庆市“十五五”人工智能发展规划</w:t>
      </w:r>
    </w:p>
    <w:p w14:paraId="48E51DE5">
      <w:pPr>
        <w:keepNext w:val="0"/>
        <w:keepLines w:val="0"/>
        <w:pageBreakBefore w:val="0"/>
        <w:widowControl w:val="0"/>
        <w:kinsoku/>
        <w:wordWrap/>
        <w:overflowPunct/>
        <w:topLinePunct w:val="0"/>
        <w:autoSpaceDE/>
        <w:autoSpaceDN/>
        <w:bidi w:val="0"/>
        <w:adjustRightInd w:val="0"/>
        <w:snapToGrid/>
        <w:spacing w:line="590" w:lineRule="exact"/>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（2026—2030年）</w:t>
      </w:r>
    </w:p>
    <w:p w14:paraId="621C2283">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p>
    <w:p w14:paraId="2CAA105F">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为更好推动全市人工智能健康有序发展，根据</w:t>
      </w:r>
      <w:r>
        <w:rPr>
          <w:rFonts w:hint="eastAsia" w:ascii="方正仿宋_GBK" w:hAnsi="方正仿宋_GBK" w:eastAsia="方正仿宋_GBK" w:cs="方正仿宋_GBK"/>
          <w:kern w:val="0"/>
          <w:sz w:val="28"/>
          <w:szCs w:val="28"/>
          <w:lang w:eastAsia="zh-CN"/>
        </w:rPr>
        <w:t>国家有关规划和</w:t>
      </w:r>
      <w:r>
        <w:rPr>
          <w:rFonts w:hint="eastAsia" w:ascii="方正仿宋_GBK" w:hAnsi="方正仿宋_GBK" w:eastAsia="方正仿宋_GBK" w:cs="方正仿宋_GBK"/>
          <w:kern w:val="0"/>
          <w:sz w:val="28"/>
          <w:szCs w:val="28"/>
        </w:rPr>
        <w:t>《重庆市国民经济和社会发展第十五个五年规划纲要》（渝府发〔2026〕7号）</w:t>
      </w:r>
      <w:r>
        <w:rPr>
          <w:rFonts w:hint="eastAsia" w:ascii="方正仿宋_GBK" w:hAnsi="方正仿宋_GBK" w:eastAsia="方正仿宋_GBK" w:cs="方正仿宋_GBK"/>
          <w:kern w:val="0"/>
          <w:sz w:val="28"/>
          <w:szCs w:val="28"/>
          <w:lang w:eastAsia="zh-CN"/>
        </w:rPr>
        <w:t>等文件精神</w:t>
      </w:r>
      <w:r>
        <w:rPr>
          <w:rFonts w:hint="eastAsia" w:ascii="方正仿宋_GBK" w:hAnsi="方正仿宋_GBK" w:eastAsia="方正仿宋_GBK" w:cs="方正仿宋_GBK"/>
          <w:kern w:val="0"/>
          <w:sz w:val="28"/>
          <w:szCs w:val="28"/>
        </w:rPr>
        <w:t>，制定本规划。</w:t>
      </w:r>
    </w:p>
    <w:p w14:paraId="1C9FBDF7">
      <w:pPr>
        <w:pStyle w:val="4"/>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一、总体要求</w:t>
      </w:r>
    </w:p>
    <w:p w14:paraId="6564729B">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坚持以习近平新时代中国特色社会主义思想为指导，全面贯彻党的二十大和二十届历次全会精神，深入落实习近平总书记视察重庆重要讲话重要指示精神，认真落实习近平总书记关于人工智能发展的重要论述，聚焦做实“两大定位”、发挥“三个作用”，锚定争创人工智能创新应用高地，推动人工智能与数字重庆双向赋能，因地制宜培育发展新质生产力，推动人工智能重塑生产生活新模式，着力构建“创新驱动、底座支撑、场景牵引、生态赋能、开放共赢、安全可控”的人工智能发展闭环体系，全面赋能现代化新重庆建设开创新局面。</w:t>
      </w:r>
    </w:p>
    <w:p w14:paraId="6F3751D1">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spacing w:val="0"/>
          <w:kern w:val="0"/>
          <w:sz w:val="28"/>
          <w:szCs w:val="28"/>
        </w:rPr>
      </w:pPr>
      <w:r>
        <w:rPr>
          <w:rFonts w:hint="eastAsia" w:ascii="方正仿宋_GBK" w:hAnsi="方正仿宋_GBK" w:eastAsia="方正仿宋_GBK" w:cs="方正仿宋_GBK"/>
          <w:kern w:val="0"/>
          <w:sz w:val="28"/>
          <w:szCs w:val="28"/>
        </w:rPr>
        <w:t>到2030年，人工智能创新策源生态加速构建，关键核心技</w:t>
      </w:r>
      <w:r>
        <w:rPr>
          <w:rFonts w:hint="eastAsia" w:ascii="方正仿宋_GBK" w:hAnsi="方正仿宋_GBK" w:eastAsia="方正仿宋_GBK" w:cs="方正仿宋_GBK"/>
          <w:spacing w:val="0"/>
          <w:kern w:val="0"/>
          <w:sz w:val="28"/>
          <w:szCs w:val="28"/>
        </w:rPr>
        <w:t>术取得重大突破，算力算法数据支撑有力有效，场景应用广度和深度全面拓展，产业集聚水平大幅提升，开放合作格局基本成形，安全治理体系与监管框架基本健全，智能经济核心产业规模突破2500亿元，新一代人工智能终端、智能体等应用普及率超过90%，人工智能赋能超大城市现代化治理，全面迈入智能发展新阶段。</w:t>
      </w:r>
    </w:p>
    <w:p w14:paraId="24388EE6">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48" w:firstLineChars="200"/>
        <w:jc w:val="both"/>
        <w:textAlignment w:val="auto"/>
        <w:outlineLvl w:val="9"/>
        <w:rPr>
          <w:rFonts w:hint="eastAsia" w:ascii="方正仿宋_GBK" w:hAnsi="方正仿宋_GBK" w:eastAsia="方正仿宋_GBK" w:cs="方正仿宋_GBK"/>
          <w:spacing w:val="0"/>
          <w:kern w:val="0"/>
          <w:sz w:val="28"/>
          <w:szCs w:val="28"/>
        </w:rPr>
      </w:pPr>
      <w:r>
        <w:rPr>
          <w:rFonts w:hint="eastAsia" w:ascii="方正仿宋_GBK" w:hAnsi="方正仿宋_GBK" w:eastAsia="方正仿宋_GBK" w:cs="方正仿宋_GBK"/>
          <w:spacing w:val="-3"/>
          <w:kern w:val="0"/>
          <w:sz w:val="28"/>
          <w:szCs w:val="28"/>
        </w:rPr>
        <w:t>到2035年，人工智能技术深度融入经济社会各领域，产业升级、政务治理、民生服务等数智化水平跻身全国前列，群众人工</w:t>
      </w:r>
      <w:r>
        <w:rPr>
          <w:rFonts w:hint="eastAsia" w:ascii="方正仿宋_GBK" w:hAnsi="方正仿宋_GBK" w:eastAsia="方正仿宋_GBK" w:cs="方正仿宋_GBK"/>
          <w:spacing w:val="0"/>
          <w:kern w:val="0"/>
          <w:sz w:val="28"/>
          <w:szCs w:val="28"/>
        </w:rPr>
        <w:t>智能素养显著提升，基本形成以智能驱动高质量发展的新格局。</w:t>
      </w:r>
    </w:p>
    <w:p w14:paraId="2E82C08E">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专栏1</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 xml:space="preserve"> “十五五”人工智能发展目标</w:t>
      </w:r>
      <w:r>
        <w:rPr>
          <w:rFonts w:hint="eastAsia" w:ascii="方正仿宋_GBK" w:hAnsi="方正仿宋_GBK" w:eastAsia="方正仿宋_GBK" w:cs="方正仿宋_GBK"/>
          <w:kern w:val="0"/>
          <w:sz w:val="28"/>
          <w:szCs w:val="28"/>
          <w:highlight w:val="none"/>
          <w:u w:val="none"/>
          <w:lang w:eastAsia="zh-CN"/>
        </w:rPr>
        <w:t>指标</w:t>
      </w:r>
      <w:r>
        <w:rPr>
          <w:rFonts w:hint="eastAsia" w:ascii="方正仿宋_GBK" w:hAnsi="方正仿宋_GBK" w:eastAsia="方正仿宋_GBK" w:cs="方正仿宋_GBK"/>
          <w:kern w:val="0"/>
          <w:sz w:val="28"/>
          <w:szCs w:val="28"/>
          <w:highlight w:val="none"/>
          <w:u w:val="none"/>
        </w:rPr>
        <w:t>体系</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0" w:type="dxa"/>
          <w:bottom w:w="0" w:type="dxa"/>
          <w:right w:w="0" w:type="dxa"/>
        </w:tblCellMar>
      </w:tblPr>
      <w:tblGrid>
        <w:gridCol w:w="643"/>
        <w:gridCol w:w="643"/>
        <w:gridCol w:w="3576"/>
        <w:gridCol w:w="1068"/>
        <w:gridCol w:w="990"/>
        <w:gridCol w:w="1193"/>
        <w:gridCol w:w="903"/>
      </w:tblGrid>
      <w:tr w14:paraId="2B48168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643" w:type="dxa"/>
            <w:noWrap w:val="0"/>
            <w:tcMar>
              <w:top w:w="96" w:type="dxa"/>
              <w:left w:w="85" w:type="dxa"/>
              <w:bottom w:w="96" w:type="dxa"/>
              <w:right w:w="85" w:type="dxa"/>
            </w:tcMar>
            <w:vAlign w:val="center"/>
          </w:tcPr>
          <w:p w14:paraId="4BFD252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eastAsia="zh-CN" w:bidi="ar"/>
              </w:rPr>
            </w:pPr>
            <w:r>
              <w:rPr>
                <w:rFonts w:hint="eastAsia" w:ascii="方正仿宋_GBK" w:hAnsi="方正仿宋_GBK" w:eastAsia="方正仿宋_GBK" w:cs="方正仿宋_GBK"/>
                <w:kern w:val="0"/>
                <w:sz w:val="28"/>
                <w:szCs w:val="28"/>
                <w:highlight w:val="none"/>
                <w:u w:val="none"/>
                <w:lang w:eastAsia="zh-CN" w:bidi="ar"/>
              </w:rPr>
              <w:t>序号</w:t>
            </w:r>
          </w:p>
        </w:tc>
        <w:tc>
          <w:tcPr>
            <w:tcW w:w="643" w:type="dxa"/>
            <w:noWrap w:val="0"/>
            <w:tcMar>
              <w:top w:w="96" w:type="dxa"/>
              <w:left w:w="85" w:type="dxa"/>
              <w:bottom w:w="96" w:type="dxa"/>
              <w:right w:w="85" w:type="dxa"/>
            </w:tcMar>
            <w:vAlign w:val="center"/>
          </w:tcPr>
          <w:p w14:paraId="4F69428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lang w:bidi="ar"/>
              </w:rPr>
              <w:t>指标类别</w:t>
            </w:r>
          </w:p>
        </w:tc>
        <w:tc>
          <w:tcPr>
            <w:tcW w:w="3576" w:type="dxa"/>
            <w:noWrap w:val="0"/>
            <w:tcMar>
              <w:top w:w="96" w:type="dxa"/>
              <w:left w:w="85" w:type="dxa"/>
              <w:bottom w:w="96" w:type="dxa"/>
              <w:right w:w="85" w:type="dxa"/>
            </w:tcMar>
            <w:vAlign w:val="center"/>
          </w:tcPr>
          <w:p w14:paraId="4BE64089">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lang w:bidi="ar"/>
              </w:rPr>
              <w:t>指</w:t>
            </w:r>
            <w:r>
              <w:rPr>
                <w:rFonts w:hint="eastAsia" w:ascii="方正仿宋_GBK" w:hAnsi="方正仿宋_GBK" w:eastAsia="方正仿宋_GBK" w:cs="方正仿宋_GBK"/>
                <w:kern w:val="0"/>
                <w:sz w:val="28"/>
                <w:szCs w:val="28"/>
                <w:highlight w:val="none"/>
                <w:u w:val="none"/>
                <w:lang w:val="en-US" w:eastAsia="zh-CN" w:bidi="ar"/>
              </w:rPr>
              <w:t xml:space="preserve">  </w:t>
            </w:r>
            <w:r>
              <w:rPr>
                <w:rFonts w:hint="eastAsia" w:ascii="方正仿宋_GBK" w:hAnsi="方正仿宋_GBK" w:eastAsia="方正仿宋_GBK" w:cs="方正仿宋_GBK"/>
                <w:kern w:val="0"/>
                <w:sz w:val="28"/>
                <w:szCs w:val="28"/>
                <w:highlight w:val="none"/>
                <w:u w:val="none"/>
                <w:lang w:bidi="ar"/>
              </w:rPr>
              <w:t>标</w:t>
            </w:r>
            <w:r>
              <w:rPr>
                <w:rFonts w:hint="eastAsia" w:ascii="方正仿宋_GBK" w:hAnsi="方正仿宋_GBK" w:eastAsia="方正仿宋_GBK" w:cs="方正仿宋_GBK"/>
                <w:kern w:val="0"/>
                <w:sz w:val="28"/>
                <w:szCs w:val="28"/>
                <w:highlight w:val="none"/>
                <w:u w:val="none"/>
                <w:lang w:val="en-US" w:eastAsia="zh-CN" w:bidi="ar"/>
              </w:rPr>
              <w:t xml:space="preserve">  </w:t>
            </w:r>
            <w:r>
              <w:rPr>
                <w:rFonts w:hint="eastAsia" w:ascii="方正仿宋_GBK" w:hAnsi="方正仿宋_GBK" w:eastAsia="方正仿宋_GBK" w:cs="方正仿宋_GBK"/>
                <w:kern w:val="0"/>
                <w:sz w:val="28"/>
                <w:szCs w:val="28"/>
                <w:highlight w:val="none"/>
                <w:u w:val="none"/>
                <w:lang w:bidi="ar"/>
              </w:rPr>
              <w:t>名</w:t>
            </w:r>
            <w:r>
              <w:rPr>
                <w:rFonts w:hint="eastAsia" w:ascii="方正仿宋_GBK" w:hAnsi="方正仿宋_GBK" w:eastAsia="方正仿宋_GBK" w:cs="方正仿宋_GBK"/>
                <w:kern w:val="0"/>
                <w:sz w:val="28"/>
                <w:szCs w:val="28"/>
                <w:highlight w:val="none"/>
                <w:u w:val="none"/>
                <w:lang w:val="en-US" w:eastAsia="zh-CN" w:bidi="ar"/>
              </w:rPr>
              <w:t xml:space="preserve">  </w:t>
            </w:r>
            <w:r>
              <w:rPr>
                <w:rFonts w:hint="eastAsia" w:ascii="方正仿宋_GBK" w:hAnsi="方正仿宋_GBK" w:eastAsia="方正仿宋_GBK" w:cs="方正仿宋_GBK"/>
                <w:kern w:val="0"/>
                <w:sz w:val="28"/>
                <w:szCs w:val="28"/>
                <w:highlight w:val="none"/>
                <w:u w:val="none"/>
                <w:lang w:bidi="ar"/>
              </w:rPr>
              <w:t>称</w:t>
            </w:r>
          </w:p>
        </w:tc>
        <w:tc>
          <w:tcPr>
            <w:tcW w:w="1068" w:type="dxa"/>
            <w:noWrap w:val="0"/>
            <w:tcMar>
              <w:top w:w="96" w:type="dxa"/>
              <w:left w:w="85" w:type="dxa"/>
              <w:bottom w:w="96" w:type="dxa"/>
              <w:right w:w="85" w:type="dxa"/>
            </w:tcMar>
            <w:vAlign w:val="center"/>
          </w:tcPr>
          <w:p w14:paraId="1E2F487A">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单位</w:t>
            </w:r>
          </w:p>
        </w:tc>
        <w:tc>
          <w:tcPr>
            <w:tcW w:w="990" w:type="dxa"/>
            <w:noWrap w:val="0"/>
            <w:tcMar>
              <w:top w:w="96" w:type="dxa"/>
              <w:left w:w="85" w:type="dxa"/>
              <w:bottom w:w="96" w:type="dxa"/>
              <w:right w:w="85" w:type="dxa"/>
            </w:tcMar>
            <w:vAlign w:val="center"/>
          </w:tcPr>
          <w:p w14:paraId="58BE51D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2025年</w:t>
            </w:r>
          </w:p>
          <w:p w14:paraId="5341773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lang w:bidi="ar"/>
              </w:rPr>
              <w:t>现状</w:t>
            </w:r>
          </w:p>
        </w:tc>
        <w:tc>
          <w:tcPr>
            <w:tcW w:w="1193" w:type="dxa"/>
            <w:noWrap w:val="0"/>
            <w:tcMar>
              <w:top w:w="96" w:type="dxa"/>
              <w:left w:w="85" w:type="dxa"/>
              <w:bottom w:w="96" w:type="dxa"/>
              <w:right w:w="85" w:type="dxa"/>
            </w:tcMar>
            <w:vAlign w:val="center"/>
          </w:tcPr>
          <w:p w14:paraId="10B0ABDA">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2030年</w:t>
            </w:r>
          </w:p>
          <w:p w14:paraId="1657543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目标</w:t>
            </w:r>
          </w:p>
        </w:tc>
        <w:tc>
          <w:tcPr>
            <w:tcW w:w="903" w:type="dxa"/>
            <w:noWrap w:val="0"/>
            <w:tcMar>
              <w:top w:w="96" w:type="dxa"/>
              <w:left w:w="85" w:type="dxa"/>
              <w:bottom w:w="96" w:type="dxa"/>
              <w:right w:w="85" w:type="dxa"/>
            </w:tcMar>
            <w:vAlign w:val="center"/>
          </w:tcPr>
          <w:p w14:paraId="7B5C5E3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属  性</w:t>
            </w:r>
          </w:p>
        </w:tc>
      </w:tr>
      <w:tr w14:paraId="5B0032B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53D3BAA3">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1</w:t>
            </w:r>
          </w:p>
        </w:tc>
        <w:tc>
          <w:tcPr>
            <w:tcW w:w="643" w:type="dxa"/>
            <w:vMerge w:val="restart"/>
            <w:noWrap w:val="0"/>
            <w:tcMar>
              <w:top w:w="96" w:type="dxa"/>
              <w:left w:w="85" w:type="dxa"/>
              <w:bottom w:w="96" w:type="dxa"/>
              <w:right w:w="85" w:type="dxa"/>
            </w:tcMar>
            <w:vAlign w:val="center"/>
          </w:tcPr>
          <w:p w14:paraId="687D485F">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创新驱动</w:t>
            </w:r>
          </w:p>
        </w:tc>
        <w:tc>
          <w:tcPr>
            <w:tcW w:w="3576" w:type="dxa"/>
            <w:noWrap w:val="0"/>
            <w:tcMar>
              <w:top w:w="96" w:type="dxa"/>
              <w:left w:w="85" w:type="dxa"/>
              <w:bottom w:w="96" w:type="dxa"/>
              <w:right w:w="85" w:type="dxa"/>
            </w:tcMar>
            <w:vAlign w:val="center"/>
          </w:tcPr>
          <w:p w14:paraId="1401C0DD">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市级以上人工智能创新平台</w:t>
            </w:r>
          </w:p>
        </w:tc>
        <w:tc>
          <w:tcPr>
            <w:tcW w:w="1068" w:type="dxa"/>
            <w:noWrap w:val="0"/>
            <w:tcMar>
              <w:top w:w="96" w:type="dxa"/>
              <w:left w:w="85" w:type="dxa"/>
              <w:bottom w:w="96" w:type="dxa"/>
              <w:right w:w="85" w:type="dxa"/>
            </w:tcMar>
            <w:vAlign w:val="center"/>
          </w:tcPr>
          <w:p w14:paraId="687CCCB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个</w:t>
            </w:r>
          </w:p>
        </w:tc>
        <w:tc>
          <w:tcPr>
            <w:tcW w:w="990" w:type="dxa"/>
            <w:noWrap w:val="0"/>
            <w:tcMar>
              <w:top w:w="96" w:type="dxa"/>
              <w:left w:w="85" w:type="dxa"/>
              <w:bottom w:w="96" w:type="dxa"/>
              <w:right w:w="85" w:type="dxa"/>
            </w:tcMar>
            <w:vAlign w:val="center"/>
          </w:tcPr>
          <w:p w14:paraId="5254C6D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53</w:t>
            </w:r>
          </w:p>
        </w:tc>
        <w:tc>
          <w:tcPr>
            <w:tcW w:w="1193" w:type="dxa"/>
            <w:noWrap w:val="0"/>
            <w:tcMar>
              <w:top w:w="96" w:type="dxa"/>
              <w:left w:w="85" w:type="dxa"/>
              <w:bottom w:w="96" w:type="dxa"/>
              <w:right w:w="85" w:type="dxa"/>
            </w:tcMar>
            <w:vAlign w:val="center"/>
          </w:tcPr>
          <w:p w14:paraId="4F95747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【100】</w:t>
            </w:r>
          </w:p>
        </w:tc>
        <w:tc>
          <w:tcPr>
            <w:tcW w:w="903" w:type="dxa"/>
            <w:noWrap w:val="0"/>
            <w:tcMar>
              <w:top w:w="96" w:type="dxa"/>
              <w:left w:w="85" w:type="dxa"/>
              <w:bottom w:w="96" w:type="dxa"/>
              <w:right w:w="85" w:type="dxa"/>
            </w:tcMar>
            <w:vAlign w:val="center"/>
          </w:tcPr>
          <w:p w14:paraId="4A7C02D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预期性</w:t>
            </w:r>
          </w:p>
        </w:tc>
      </w:tr>
      <w:tr w14:paraId="096AE6C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6DE62762">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2</w:t>
            </w:r>
          </w:p>
        </w:tc>
        <w:tc>
          <w:tcPr>
            <w:tcW w:w="643" w:type="dxa"/>
            <w:vMerge w:val="continue"/>
            <w:noWrap w:val="0"/>
            <w:tcMar>
              <w:top w:w="96" w:type="dxa"/>
              <w:left w:w="85" w:type="dxa"/>
              <w:bottom w:w="96" w:type="dxa"/>
              <w:right w:w="85" w:type="dxa"/>
            </w:tcMar>
            <w:vAlign w:val="center"/>
          </w:tcPr>
          <w:p w14:paraId="6D03AB2F">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p>
        </w:tc>
        <w:tc>
          <w:tcPr>
            <w:tcW w:w="3576" w:type="dxa"/>
            <w:noWrap w:val="0"/>
            <w:tcMar>
              <w:top w:w="96" w:type="dxa"/>
              <w:left w:w="85" w:type="dxa"/>
              <w:bottom w:w="96" w:type="dxa"/>
              <w:right w:w="85" w:type="dxa"/>
            </w:tcMar>
            <w:vAlign w:val="center"/>
          </w:tcPr>
          <w:p w14:paraId="32AF75A5">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spacing w:val="-3"/>
                <w:kern w:val="0"/>
                <w:sz w:val="28"/>
                <w:szCs w:val="28"/>
                <w:highlight w:val="none"/>
                <w:u w:val="none"/>
              </w:rPr>
              <w:t>市级以上人工智能创新孵化生态社区</w:t>
            </w:r>
          </w:p>
        </w:tc>
        <w:tc>
          <w:tcPr>
            <w:tcW w:w="1068" w:type="dxa"/>
            <w:noWrap w:val="0"/>
            <w:tcMar>
              <w:top w:w="96" w:type="dxa"/>
              <w:left w:w="85" w:type="dxa"/>
              <w:bottom w:w="96" w:type="dxa"/>
              <w:right w:w="85" w:type="dxa"/>
            </w:tcMar>
            <w:vAlign w:val="center"/>
          </w:tcPr>
          <w:p w14:paraId="1FB6B77A">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个</w:t>
            </w:r>
          </w:p>
        </w:tc>
        <w:tc>
          <w:tcPr>
            <w:tcW w:w="990" w:type="dxa"/>
            <w:noWrap w:val="0"/>
            <w:tcMar>
              <w:top w:w="96" w:type="dxa"/>
              <w:left w:w="85" w:type="dxa"/>
              <w:bottom w:w="96" w:type="dxa"/>
              <w:right w:w="85" w:type="dxa"/>
            </w:tcMar>
            <w:vAlign w:val="center"/>
          </w:tcPr>
          <w:p w14:paraId="09F7A2F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2</w:t>
            </w:r>
          </w:p>
        </w:tc>
        <w:tc>
          <w:tcPr>
            <w:tcW w:w="1193" w:type="dxa"/>
            <w:noWrap w:val="0"/>
            <w:tcMar>
              <w:top w:w="96" w:type="dxa"/>
              <w:left w:w="85" w:type="dxa"/>
              <w:bottom w:w="96" w:type="dxa"/>
              <w:right w:w="85" w:type="dxa"/>
            </w:tcMar>
            <w:vAlign w:val="center"/>
          </w:tcPr>
          <w:p w14:paraId="4B3A4AF9">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【10】</w:t>
            </w:r>
          </w:p>
        </w:tc>
        <w:tc>
          <w:tcPr>
            <w:tcW w:w="903" w:type="dxa"/>
            <w:noWrap w:val="0"/>
            <w:tcMar>
              <w:top w:w="96" w:type="dxa"/>
              <w:left w:w="85" w:type="dxa"/>
              <w:bottom w:w="96" w:type="dxa"/>
              <w:right w:w="85" w:type="dxa"/>
            </w:tcMar>
            <w:vAlign w:val="center"/>
          </w:tcPr>
          <w:p w14:paraId="0866713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预期性</w:t>
            </w:r>
          </w:p>
        </w:tc>
      </w:tr>
      <w:tr w14:paraId="6FD11E0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19315CA4">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3</w:t>
            </w:r>
          </w:p>
        </w:tc>
        <w:tc>
          <w:tcPr>
            <w:tcW w:w="643" w:type="dxa"/>
            <w:vMerge w:val="continue"/>
            <w:noWrap w:val="0"/>
            <w:tcMar>
              <w:top w:w="96" w:type="dxa"/>
              <w:left w:w="85" w:type="dxa"/>
              <w:bottom w:w="96" w:type="dxa"/>
              <w:right w:w="85" w:type="dxa"/>
            </w:tcMar>
            <w:vAlign w:val="center"/>
          </w:tcPr>
          <w:p w14:paraId="3EDAAF3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p>
        </w:tc>
        <w:tc>
          <w:tcPr>
            <w:tcW w:w="3576" w:type="dxa"/>
            <w:noWrap w:val="0"/>
            <w:tcMar>
              <w:top w:w="96" w:type="dxa"/>
              <w:left w:w="85" w:type="dxa"/>
              <w:bottom w:w="96" w:type="dxa"/>
              <w:right w:w="85" w:type="dxa"/>
            </w:tcMar>
            <w:vAlign w:val="center"/>
          </w:tcPr>
          <w:p w14:paraId="50863189">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人工智能领域科技领军人才</w:t>
            </w:r>
          </w:p>
        </w:tc>
        <w:tc>
          <w:tcPr>
            <w:tcW w:w="1068" w:type="dxa"/>
            <w:noWrap w:val="0"/>
            <w:tcMar>
              <w:top w:w="96" w:type="dxa"/>
              <w:left w:w="85" w:type="dxa"/>
              <w:bottom w:w="96" w:type="dxa"/>
              <w:right w:w="85" w:type="dxa"/>
            </w:tcMar>
            <w:vAlign w:val="center"/>
          </w:tcPr>
          <w:p w14:paraId="4577653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w:t>
            </w:r>
          </w:p>
        </w:tc>
        <w:tc>
          <w:tcPr>
            <w:tcW w:w="990" w:type="dxa"/>
            <w:noWrap w:val="0"/>
            <w:tcMar>
              <w:top w:w="96" w:type="dxa"/>
              <w:left w:w="85" w:type="dxa"/>
              <w:bottom w:w="96" w:type="dxa"/>
              <w:right w:w="85" w:type="dxa"/>
            </w:tcMar>
            <w:vAlign w:val="center"/>
          </w:tcPr>
          <w:p w14:paraId="2F3AECE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15</w:t>
            </w:r>
          </w:p>
        </w:tc>
        <w:tc>
          <w:tcPr>
            <w:tcW w:w="1193" w:type="dxa"/>
            <w:noWrap w:val="0"/>
            <w:tcMar>
              <w:top w:w="96" w:type="dxa"/>
              <w:left w:w="85" w:type="dxa"/>
              <w:bottom w:w="96" w:type="dxa"/>
              <w:right w:w="85" w:type="dxa"/>
            </w:tcMar>
            <w:vAlign w:val="center"/>
          </w:tcPr>
          <w:p w14:paraId="6FA1AE5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【50】</w:t>
            </w:r>
          </w:p>
        </w:tc>
        <w:tc>
          <w:tcPr>
            <w:tcW w:w="903" w:type="dxa"/>
            <w:noWrap w:val="0"/>
            <w:tcMar>
              <w:top w:w="96" w:type="dxa"/>
              <w:left w:w="85" w:type="dxa"/>
              <w:bottom w:w="96" w:type="dxa"/>
              <w:right w:w="85" w:type="dxa"/>
            </w:tcMar>
            <w:vAlign w:val="center"/>
          </w:tcPr>
          <w:p w14:paraId="7286122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预期性</w:t>
            </w:r>
          </w:p>
        </w:tc>
      </w:tr>
      <w:tr w14:paraId="3D0E0EB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1DF5A499">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4</w:t>
            </w:r>
          </w:p>
        </w:tc>
        <w:tc>
          <w:tcPr>
            <w:tcW w:w="643" w:type="dxa"/>
            <w:vMerge w:val="restart"/>
            <w:noWrap w:val="0"/>
            <w:tcMar>
              <w:top w:w="96" w:type="dxa"/>
              <w:left w:w="85" w:type="dxa"/>
              <w:bottom w:w="96" w:type="dxa"/>
              <w:right w:w="85" w:type="dxa"/>
            </w:tcMar>
            <w:vAlign w:val="center"/>
          </w:tcPr>
          <w:p w14:paraId="77BBCD4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底座支撑</w:t>
            </w:r>
          </w:p>
        </w:tc>
        <w:tc>
          <w:tcPr>
            <w:tcW w:w="3576" w:type="dxa"/>
            <w:noWrap w:val="0"/>
            <w:tcMar>
              <w:top w:w="96" w:type="dxa"/>
              <w:left w:w="85" w:type="dxa"/>
              <w:bottom w:w="96" w:type="dxa"/>
              <w:right w:w="85" w:type="dxa"/>
            </w:tcMar>
            <w:vAlign w:val="center"/>
          </w:tcPr>
          <w:p w14:paraId="76D21103">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lang w:bidi="ar"/>
              </w:rPr>
              <w:t>可调度智算规模</w:t>
            </w:r>
          </w:p>
        </w:tc>
        <w:tc>
          <w:tcPr>
            <w:tcW w:w="1068" w:type="dxa"/>
            <w:noWrap w:val="0"/>
            <w:tcMar>
              <w:top w:w="96" w:type="dxa"/>
              <w:left w:w="85" w:type="dxa"/>
              <w:bottom w:w="96" w:type="dxa"/>
              <w:right w:w="85" w:type="dxa"/>
            </w:tcMar>
            <w:vAlign w:val="center"/>
          </w:tcPr>
          <w:p w14:paraId="4C4FE9D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rPr>
              <w:t>PFLOPS</w:t>
            </w:r>
          </w:p>
        </w:tc>
        <w:tc>
          <w:tcPr>
            <w:tcW w:w="990" w:type="dxa"/>
            <w:noWrap w:val="0"/>
            <w:tcMar>
              <w:top w:w="96" w:type="dxa"/>
              <w:left w:w="85" w:type="dxa"/>
              <w:bottom w:w="96" w:type="dxa"/>
              <w:right w:w="85" w:type="dxa"/>
            </w:tcMar>
            <w:vAlign w:val="center"/>
          </w:tcPr>
          <w:p w14:paraId="1AA1FF61">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30000</w:t>
            </w:r>
          </w:p>
        </w:tc>
        <w:tc>
          <w:tcPr>
            <w:tcW w:w="1193" w:type="dxa"/>
            <w:noWrap w:val="0"/>
            <w:tcMar>
              <w:top w:w="96" w:type="dxa"/>
              <w:left w:w="85" w:type="dxa"/>
              <w:bottom w:w="96" w:type="dxa"/>
              <w:right w:w="85" w:type="dxa"/>
            </w:tcMar>
            <w:vAlign w:val="center"/>
          </w:tcPr>
          <w:p w14:paraId="7E2F624C">
            <w:pPr>
              <w:keepNext w:val="0"/>
              <w:keepLines w:val="0"/>
              <w:pageBreakBefore w:val="0"/>
              <w:widowControl w:val="0"/>
              <w:kinsoku/>
              <w:wordWrap/>
              <w:overflowPunct/>
              <w:topLinePunct w:val="0"/>
              <w:autoSpaceDE/>
              <w:autoSpaceDN/>
              <w:bidi w:val="0"/>
              <w:adjustRightInd w:val="0"/>
              <w:snapToGrid w:val="0"/>
              <w:spacing w:line="240" w:lineRule="auto"/>
              <w:ind w:left="-105" w:leftChars="-50" w:right="-105" w:rightChars="-5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spacing w:val="-11"/>
                <w:kern w:val="0"/>
                <w:sz w:val="28"/>
                <w:szCs w:val="28"/>
                <w:highlight w:val="none"/>
                <w:u w:val="none"/>
                <w:lang w:bidi="ar"/>
              </w:rPr>
              <w:t>【150000】</w:t>
            </w:r>
          </w:p>
        </w:tc>
        <w:tc>
          <w:tcPr>
            <w:tcW w:w="903" w:type="dxa"/>
            <w:noWrap w:val="0"/>
            <w:tcMar>
              <w:top w:w="96" w:type="dxa"/>
              <w:left w:w="85" w:type="dxa"/>
              <w:bottom w:w="96" w:type="dxa"/>
              <w:right w:w="85" w:type="dxa"/>
            </w:tcMar>
            <w:vAlign w:val="center"/>
          </w:tcPr>
          <w:p w14:paraId="502DB9C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预期性</w:t>
            </w:r>
          </w:p>
        </w:tc>
      </w:tr>
      <w:tr w14:paraId="0AE6326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68AB4FE1">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5</w:t>
            </w:r>
          </w:p>
        </w:tc>
        <w:tc>
          <w:tcPr>
            <w:tcW w:w="643" w:type="dxa"/>
            <w:vMerge w:val="continue"/>
            <w:noWrap w:val="0"/>
            <w:tcMar>
              <w:top w:w="96" w:type="dxa"/>
              <w:left w:w="85" w:type="dxa"/>
              <w:bottom w:w="96" w:type="dxa"/>
              <w:right w:w="85" w:type="dxa"/>
            </w:tcMar>
            <w:vAlign w:val="center"/>
          </w:tcPr>
          <w:p w14:paraId="29C78D09">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p>
        </w:tc>
        <w:tc>
          <w:tcPr>
            <w:tcW w:w="3576" w:type="dxa"/>
            <w:noWrap w:val="0"/>
            <w:tcMar>
              <w:top w:w="96" w:type="dxa"/>
              <w:left w:w="85" w:type="dxa"/>
              <w:bottom w:w="96" w:type="dxa"/>
              <w:right w:w="85" w:type="dxa"/>
            </w:tcMar>
            <w:vAlign w:val="center"/>
          </w:tcPr>
          <w:p w14:paraId="32B26364">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lang w:bidi="ar"/>
              </w:rPr>
              <w:t>可信数据空间</w:t>
            </w:r>
          </w:p>
        </w:tc>
        <w:tc>
          <w:tcPr>
            <w:tcW w:w="1068" w:type="dxa"/>
            <w:noWrap w:val="0"/>
            <w:tcMar>
              <w:top w:w="96" w:type="dxa"/>
              <w:left w:w="85" w:type="dxa"/>
              <w:bottom w:w="96" w:type="dxa"/>
              <w:right w:w="85" w:type="dxa"/>
            </w:tcMar>
            <w:vAlign w:val="center"/>
          </w:tcPr>
          <w:p w14:paraId="3C40EEB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个</w:t>
            </w:r>
          </w:p>
        </w:tc>
        <w:tc>
          <w:tcPr>
            <w:tcW w:w="990" w:type="dxa"/>
            <w:noWrap w:val="0"/>
            <w:tcMar>
              <w:top w:w="96" w:type="dxa"/>
              <w:left w:w="85" w:type="dxa"/>
              <w:bottom w:w="96" w:type="dxa"/>
              <w:right w:w="85" w:type="dxa"/>
            </w:tcMar>
            <w:vAlign w:val="center"/>
          </w:tcPr>
          <w:p w14:paraId="4D0A0B4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4</w:t>
            </w:r>
          </w:p>
        </w:tc>
        <w:tc>
          <w:tcPr>
            <w:tcW w:w="1193" w:type="dxa"/>
            <w:noWrap w:val="0"/>
            <w:tcMar>
              <w:top w:w="96" w:type="dxa"/>
              <w:left w:w="85" w:type="dxa"/>
              <w:bottom w:w="96" w:type="dxa"/>
              <w:right w:w="85" w:type="dxa"/>
            </w:tcMar>
            <w:vAlign w:val="center"/>
          </w:tcPr>
          <w:p w14:paraId="0729479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【15】</w:t>
            </w:r>
          </w:p>
        </w:tc>
        <w:tc>
          <w:tcPr>
            <w:tcW w:w="903" w:type="dxa"/>
            <w:noWrap w:val="0"/>
            <w:tcMar>
              <w:top w:w="96" w:type="dxa"/>
              <w:left w:w="85" w:type="dxa"/>
              <w:bottom w:w="96" w:type="dxa"/>
              <w:right w:w="85" w:type="dxa"/>
            </w:tcMar>
            <w:vAlign w:val="center"/>
          </w:tcPr>
          <w:p w14:paraId="2DAEB86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预期性</w:t>
            </w:r>
          </w:p>
        </w:tc>
      </w:tr>
      <w:tr w14:paraId="74E64B98">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0F39B3E2">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6</w:t>
            </w:r>
          </w:p>
        </w:tc>
        <w:tc>
          <w:tcPr>
            <w:tcW w:w="643" w:type="dxa"/>
            <w:vMerge w:val="continue"/>
            <w:noWrap w:val="0"/>
            <w:tcMar>
              <w:top w:w="96" w:type="dxa"/>
              <w:left w:w="85" w:type="dxa"/>
              <w:bottom w:w="96" w:type="dxa"/>
              <w:right w:w="85" w:type="dxa"/>
            </w:tcMar>
            <w:vAlign w:val="center"/>
          </w:tcPr>
          <w:p w14:paraId="145F578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p>
        </w:tc>
        <w:tc>
          <w:tcPr>
            <w:tcW w:w="3576" w:type="dxa"/>
            <w:noWrap w:val="0"/>
            <w:tcMar>
              <w:top w:w="96" w:type="dxa"/>
              <w:left w:w="85" w:type="dxa"/>
              <w:bottom w:w="96" w:type="dxa"/>
              <w:right w:w="85" w:type="dxa"/>
            </w:tcMar>
            <w:vAlign w:val="center"/>
          </w:tcPr>
          <w:p w14:paraId="4AA583AB">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lang w:bidi="ar"/>
              </w:rPr>
              <w:t>高质量数据集</w:t>
            </w:r>
          </w:p>
        </w:tc>
        <w:tc>
          <w:tcPr>
            <w:tcW w:w="1068" w:type="dxa"/>
            <w:noWrap w:val="0"/>
            <w:tcMar>
              <w:top w:w="96" w:type="dxa"/>
              <w:left w:w="85" w:type="dxa"/>
              <w:bottom w:w="96" w:type="dxa"/>
              <w:right w:w="85" w:type="dxa"/>
            </w:tcMar>
            <w:vAlign w:val="center"/>
          </w:tcPr>
          <w:p w14:paraId="0A14D13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个</w:t>
            </w:r>
          </w:p>
        </w:tc>
        <w:tc>
          <w:tcPr>
            <w:tcW w:w="990" w:type="dxa"/>
            <w:noWrap w:val="0"/>
            <w:tcMar>
              <w:top w:w="96" w:type="dxa"/>
              <w:left w:w="85" w:type="dxa"/>
              <w:bottom w:w="96" w:type="dxa"/>
              <w:right w:w="85" w:type="dxa"/>
            </w:tcMar>
            <w:vAlign w:val="center"/>
          </w:tcPr>
          <w:p w14:paraId="2D1ECF6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85</w:t>
            </w:r>
          </w:p>
        </w:tc>
        <w:tc>
          <w:tcPr>
            <w:tcW w:w="1193" w:type="dxa"/>
            <w:noWrap w:val="0"/>
            <w:tcMar>
              <w:top w:w="96" w:type="dxa"/>
              <w:left w:w="85" w:type="dxa"/>
              <w:bottom w:w="96" w:type="dxa"/>
              <w:right w:w="85" w:type="dxa"/>
            </w:tcMar>
            <w:vAlign w:val="center"/>
          </w:tcPr>
          <w:p w14:paraId="39E81E9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【5000】</w:t>
            </w:r>
          </w:p>
        </w:tc>
        <w:tc>
          <w:tcPr>
            <w:tcW w:w="903" w:type="dxa"/>
            <w:noWrap w:val="0"/>
            <w:tcMar>
              <w:top w:w="96" w:type="dxa"/>
              <w:left w:w="85" w:type="dxa"/>
              <w:bottom w:w="96" w:type="dxa"/>
              <w:right w:w="85" w:type="dxa"/>
            </w:tcMar>
            <w:vAlign w:val="center"/>
          </w:tcPr>
          <w:p w14:paraId="30B4957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预期性</w:t>
            </w:r>
          </w:p>
        </w:tc>
      </w:tr>
      <w:tr w14:paraId="36CAE72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448877CC">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7</w:t>
            </w:r>
          </w:p>
        </w:tc>
        <w:tc>
          <w:tcPr>
            <w:tcW w:w="643" w:type="dxa"/>
            <w:vMerge w:val="restart"/>
            <w:noWrap w:val="0"/>
            <w:tcMar>
              <w:top w:w="96" w:type="dxa"/>
              <w:left w:w="85" w:type="dxa"/>
              <w:bottom w:w="96" w:type="dxa"/>
              <w:right w:w="85" w:type="dxa"/>
            </w:tcMar>
            <w:vAlign w:val="center"/>
          </w:tcPr>
          <w:p w14:paraId="249AC62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场景牵引</w:t>
            </w:r>
          </w:p>
        </w:tc>
        <w:tc>
          <w:tcPr>
            <w:tcW w:w="3576" w:type="dxa"/>
            <w:noWrap w:val="0"/>
            <w:tcMar>
              <w:top w:w="96" w:type="dxa"/>
              <w:left w:w="85" w:type="dxa"/>
              <w:bottom w:w="96" w:type="dxa"/>
              <w:right w:w="85" w:type="dxa"/>
            </w:tcMar>
            <w:vAlign w:val="center"/>
          </w:tcPr>
          <w:p w14:paraId="0995CADA">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rPr>
              <w:t>“人工智能</w:t>
            </w:r>
            <w:r>
              <w:rPr>
                <w:rFonts w:hint="eastAsia" w:ascii="方正仿宋_GBK" w:hAnsi="方正仿宋_GBK" w:eastAsia="方正仿宋_GBK" w:cs="方正仿宋_GBK"/>
                <w:kern w:val="0"/>
                <w:sz w:val="28"/>
                <w:szCs w:val="28"/>
                <w:highlight w:val="none"/>
                <w:u w:val="none"/>
                <w:lang w:bidi="ar"/>
              </w:rPr>
              <w:t>+”综合场景</w:t>
            </w:r>
          </w:p>
        </w:tc>
        <w:tc>
          <w:tcPr>
            <w:tcW w:w="1068" w:type="dxa"/>
            <w:noWrap w:val="0"/>
            <w:tcMar>
              <w:top w:w="96" w:type="dxa"/>
              <w:left w:w="85" w:type="dxa"/>
              <w:bottom w:w="96" w:type="dxa"/>
              <w:right w:w="85" w:type="dxa"/>
            </w:tcMar>
            <w:vAlign w:val="center"/>
          </w:tcPr>
          <w:p w14:paraId="3CD6091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个</w:t>
            </w:r>
          </w:p>
        </w:tc>
        <w:tc>
          <w:tcPr>
            <w:tcW w:w="990" w:type="dxa"/>
            <w:noWrap w:val="0"/>
            <w:tcMar>
              <w:top w:w="96" w:type="dxa"/>
              <w:left w:w="85" w:type="dxa"/>
              <w:bottom w:w="96" w:type="dxa"/>
              <w:right w:w="85" w:type="dxa"/>
            </w:tcMar>
            <w:vAlign w:val="center"/>
          </w:tcPr>
          <w:p w14:paraId="0CA222D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30</w:t>
            </w:r>
          </w:p>
        </w:tc>
        <w:tc>
          <w:tcPr>
            <w:tcW w:w="1193" w:type="dxa"/>
            <w:noWrap w:val="0"/>
            <w:tcMar>
              <w:top w:w="96" w:type="dxa"/>
              <w:left w:w="85" w:type="dxa"/>
              <w:bottom w:w="96" w:type="dxa"/>
              <w:right w:w="85" w:type="dxa"/>
            </w:tcMar>
            <w:vAlign w:val="center"/>
          </w:tcPr>
          <w:p w14:paraId="528CBED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【200】</w:t>
            </w:r>
          </w:p>
        </w:tc>
        <w:tc>
          <w:tcPr>
            <w:tcW w:w="903" w:type="dxa"/>
            <w:noWrap w:val="0"/>
            <w:tcMar>
              <w:top w:w="96" w:type="dxa"/>
              <w:left w:w="85" w:type="dxa"/>
              <w:bottom w:w="96" w:type="dxa"/>
              <w:right w:w="85" w:type="dxa"/>
            </w:tcMar>
            <w:vAlign w:val="center"/>
          </w:tcPr>
          <w:p w14:paraId="16E6336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预期性</w:t>
            </w:r>
          </w:p>
        </w:tc>
      </w:tr>
      <w:tr w14:paraId="6D3D84D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2D4F2910">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8</w:t>
            </w:r>
          </w:p>
        </w:tc>
        <w:tc>
          <w:tcPr>
            <w:tcW w:w="643" w:type="dxa"/>
            <w:vMerge w:val="continue"/>
            <w:noWrap w:val="0"/>
            <w:tcMar>
              <w:top w:w="96" w:type="dxa"/>
              <w:left w:w="85" w:type="dxa"/>
              <w:bottom w:w="96" w:type="dxa"/>
              <w:right w:w="85" w:type="dxa"/>
            </w:tcMar>
            <w:vAlign w:val="center"/>
          </w:tcPr>
          <w:p w14:paraId="629B1B0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p>
        </w:tc>
        <w:tc>
          <w:tcPr>
            <w:tcW w:w="3576" w:type="dxa"/>
            <w:noWrap w:val="0"/>
            <w:tcMar>
              <w:top w:w="96" w:type="dxa"/>
              <w:left w:w="85" w:type="dxa"/>
              <w:bottom w:w="96" w:type="dxa"/>
              <w:right w:w="85" w:type="dxa"/>
            </w:tcMar>
            <w:vAlign w:val="center"/>
          </w:tcPr>
          <w:p w14:paraId="22C5AACC">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新一代人工智能终端、智能体等应用普及率</w:t>
            </w:r>
          </w:p>
        </w:tc>
        <w:tc>
          <w:tcPr>
            <w:tcW w:w="1068" w:type="dxa"/>
            <w:noWrap w:val="0"/>
            <w:tcMar>
              <w:top w:w="96" w:type="dxa"/>
              <w:left w:w="85" w:type="dxa"/>
              <w:bottom w:w="96" w:type="dxa"/>
              <w:right w:w="85" w:type="dxa"/>
            </w:tcMar>
            <w:vAlign w:val="center"/>
          </w:tcPr>
          <w:p w14:paraId="67AFD57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w:t>
            </w:r>
          </w:p>
        </w:tc>
        <w:tc>
          <w:tcPr>
            <w:tcW w:w="990" w:type="dxa"/>
            <w:noWrap w:val="0"/>
            <w:tcMar>
              <w:top w:w="96" w:type="dxa"/>
              <w:left w:w="85" w:type="dxa"/>
              <w:bottom w:w="96" w:type="dxa"/>
              <w:right w:w="85" w:type="dxa"/>
            </w:tcMar>
            <w:vAlign w:val="center"/>
          </w:tcPr>
          <w:p w14:paraId="16E6B34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w:t>
            </w:r>
          </w:p>
        </w:tc>
        <w:tc>
          <w:tcPr>
            <w:tcW w:w="1193" w:type="dxa"/>
            <w:noWrap w:val="0"/>
            <w:tcMar>
              <w:top w:w="96" w:type="dxa"/>
              <w:left w:w="85" w:type="dxa"/>
              <w:bottom w:w="96" w:type="dxa"/>
              <w:right w:w="85" w:type="dxa"/>
            </w:tcMar>
            <w:vAlign w:val="center"/>
          </w:tcPr>
          <w:p w14:paraId="456AA8A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90</w:t>
            </w:r>
          </w:p>
        </w:tc>
        <w:tc>
          <w:tcPr>
            <w:tcW w:w="903" w:type="dxa"/>
            <w:noWrap w:val="0"/>
            <w:tcMar>
              <w:top w:w="96" w:type="dxa"/>
              <w:left w:w="85" w:type="dxa"/>
              <w:bottom w:w="96" w:type="dxa"/>
              <w:right w:w="85" w:type="dxa"/>
            </w:tcMar>
            <w:vAlign w:val="center"/>
          </w:tcPr>
          <w:p w14:paraId="5157DA5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预期性</w:t>
            </w:r>
          </w:p>
        </w:tc>
      </w:tr>
      <w:tr w14:paraId="727D4C6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407D648E">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9</w:t>
            </w:r>
          </w:p>
        </w:tc>
        <w:tc>
          <w:tcPr>
            <w:tcW w:w="643" w:type="dxa"/>
            <w:vMerge w:val="restart"/>
            <w:noWrap w:val="0"/>
            <w:tcMar>
              <w:top w:w="96" w:type="dxa"/>
              <w:left w:w="85" w:type="dxa"/>
              <w:bottom w:w="96" w:type="dxa"/>
              <w:right w:w="85" w:type="dxa"/>
            </w:tcMar>
            <w:vAlign w:val="center"/>
          </w:tcPr>
          <w:p w14:paraId="251B7CF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生态赋能</w:t>
            </w:r>
          </w:p>
        </w:tc>
        <w:tc>
          <w:tcPr>
            <w:tcW w:w="3576" w:type="dxa"/>
            <w:noWrap w:val="0"/>
            <w:tcMar>
              <w:top w:w="96" w:type="dxa"/>
              <w:left w:w="85" w:type="dxa"/>
              <w:bottom w:w="96" w:type="dxa"/>
              <w:right w:w="85" w:type="dxa"/>
            </w:tcMar>
            <w:vAlign w:val="center"/>
          </w:tcPr>
          <w:p w14:paraId="6DE80904">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智能经济核心产业规模</w:t>
            </w:r>
          </w:p>
        </w:tc>
        <w:tc>
          <w:tcPr>
            <w:tcW w:w="1068" w:type="dxa"/>
            <w:noWrap w:val="0"/>
            <w:tcMar>
              <w:top w:w="96" w:type="dxa"/>
              <w:left w:w="85" w:type="dxa"/>
              <w:bottom w:w="96" w:type="dxa"/>
              <w:right w:w="85" w:type="dxa"/>
            </w:tcMar>
            <w:vAlign w:val="center"/>
          </w:tcPr>
          <w:p w14:paraId="34590B8A">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亿元</w:t>
            </w:r>
          </w:p>
        </w:tc>
        <w:tc>
          <w:tcPr>
            <w:tcW w:w="990" w:type="dxa"/>
            <w:noWrap w:val="0"/>
            <w:tcMar>
              <w:top w:w="96" w:type="dxa"/>
              <w:left w:w="85" w:type="dxa"/>
              <w:bottom w:w="96" w:type="dxa"/>
              <w:right w:w="85" w:type="dxa"/>
            </w:tcMar>
            <w:vAlign w:val="center"/>
          </w:tcPr>
          <w:p w14:paraId="71BD673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w:t>
            </w:r>
          </w:p>
        </w:tc>
        <w:tc>
          <w:tcPr>
            <w:tcW w:w="1193" w:type="dxa"/>
            <w:noWrap w:val="0"/>
            <w:tcMar>
              <w:top w:w="96" w:type="dxa"/>
              <w:left w:w="85" w:type="dxa"/>
              <w:bottom w:w="96" w:type="dxa"/>
              <w:right w:w="85" w:type="dxa"/>
            </w:tcMar>
            <w:vAlign w:val="center"/>
          </w:tcPr>
          <w:p w14:paraId="096BE2A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2500</w:t>
            </w:r>
          </w:p>
        </w:tc>
        <w:tc>
          <w:tcPr>
            <w:tcW w:w="903" w:type="dxa"/>
            <w:noWrap w:val="0"/>
            <w:tcMar>
              <w:top w:w="96" w:type="dxa"/>
              <w:left w:w="85" w:type="dxa"/>
              <w:bottom w:w="96" w:type="dxa"/>
              <w:right w:w="85" w:type="dxa"/>
            </w:tcMar>
            <w:vAlign w:val="center"/>
          </w:tcPr>
          <w:p w14:paraId="2B4A2B0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预期性</w:t>
            </w:r>
          </w:p>
        </w:tc>
      </w:tr>
      <w:tr w14:paraId="33AFEAF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2585CEA0">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10</w:t>
            </w:r>
          </w:p>
        </w:tc>
        <w:tc>
          <w:tcPr>
            <w:tcW w:w="643" w:type="dxa"/>
            <w:vMerge w:val="continue"/>
            <w:noWrap w:val="0"/>
            <w:tcMar>
              <w:top w:w="96" w:type="dxa"/>
              <w:left w:w="85" w:type="dxa"/>
              <w:bottom w:w="96" w:type="dxa"/>
              <w:right w:w="85" w:type="dxa"/>
            </w:tcMar>
            <w:vAlign w:val="center"/>
          </w:tcPr>
          <w:p w14:paraId="35B5CAE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p>
        </w:tc>
        <w:tc>
          <w:tcPr>
            <w:tcW w:w="3576" w:type="dxa"/>
            <w:noWrap w:val="0"/>
            <w:tcMar>
              <w:top w:w="96" w:type="dxa"/>
              <w:left w:w="85" w:type="dxa"/>
              <w:bottom w:w="96" w:type="dxa"/>
              <w:right w:w="85" w:type="dxa"/>
            </w:tcMar>
            <w:vAlign w:val="center"/>
          </w:tcPr>
          <w:p w14:paraId="5E51B25B">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人工智能企业</w:t>
            </w:r>
          </w:p>
        </w:tc>
        <w:tc>
          <w:tcPr>
            <w:tcW w:w="1068" w:type="dxa"/>
            <w:noWrap w:val="0"/>
            <w:tcMar>
              <w:top w:w="96" w:type="dxa"/>
              <w:left w:w="85" w:type="dxa"/>
              <w:bottom w:w="96" w:type="dxa"/>
              <w:right w:w="85" w:type="dxa"/>
            </w:tcMar>
            <w:vAlign w:val="center"/>
          </w:tcPr>
          <w:p w14:paraId="29578CCF">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个</w:t>
            </w:r>
          </w:p>
        </w:tc>
        <w:tc>
          <w:tcPr>
            <w:tcW w:w="990" w:type="dxa"/>
            <w:noWrap w:val="0"/>
            <w:tcMar>
              <w:top w:w="96" w:type="dxa"/>
              <w:left w:w="85" w:type="dxa"/>
              <w:bottom w:w="96" w:type="dxa"/>
              <w:right w:w="85" w:type="dxa"/>
            </w:tcMar>
            <w:vAlign w:val="center"/>
          </w:tcPr>
          <w:p w14:paraId="00C55B71">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392</w:t>
            </w:r>
          </w:p>
        </w:tc>
        <w:tc>
          <w:tcPr>
            <w:tcW w:w="1193" w:type="dxa"/>
            <w:noWrap w:val="0"/>
            <w:tcMar>
              <w:top w:w="96" w:type="dxa"/>
              <w:left w:w="85" w:type="dxa"/>
              <w:bottom w:w="96" w:type="dxa"/>
              <w:right w:w="85" w:type="dxa"/>
            </w:tcMar>
            <w:vAlign w:val="center"/>
          </w:tcPr>
          <w:p w14:paraId="3F1456B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【1000】</w:t>
            </w:r>
          </w:p>
        </w:tc>
        <w:tc>
          <w:tcPr>
            <w:tcW w:w="903" w:type="dxa"/>
            <w:noWrap w:val="0"/>
            <w:tcMar>
              <w:top w:w="96" w:type="dxa"/>
              <w:left w:w="85" w:type="dxa"/>
              <w:bottom w:w="96" w:type="dxa"/>
              <w:right w:w="85" w:type="dxa"/>
            </w:tcMar>
            <w:vAlign w:val="center"/>
          </w:tcPr>
          <w:p w14:paraId="0BE9B6C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预期性</w:t>
            </w:r>
          </w:p>
        </w:tc>
      </w:tr>
      <w:tr w14:paraId="29B9535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099A393D">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11</w:t>
            </w:r>
          </w:p>
        </w:tc>
        <w:tc>
          <w:tcPr>
            <w:tcW w:w="643" w:type="dxa"/>
            <w:noWrap w:val="0"/>
            <w:tcMar>
              <w:top w:w="96" w:type="dxa"/>
              <w:left w:w="85" w:type="dxa"/>
              <w:bottom w:w="96" w:type="dxa"/>
              <w:right w:w="85" w:type="dxa"/>
            </w:tcMar>
            <w:vAlign w:val="center"/>
          </w:tcPr>
          <w:p w14:paraId="3C867AF9">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开放共赢</w:t>
            </w:r>
          </w:p>
        </w:tc>
        <w:tc>
          <w:tcPr>
            <w:tcW w:w="3576" w:type="dxa"/>
            <w:noWrap w:val="0"/>
            <w:tcMar>
              <w:top w:w="96" w:type="dxa"/>
              <w:left w:w="85" w:type="dxa"/>
              <w:bottom w:w="96" w:type="dxa"/>
              <w:right w:w="85" w:type="dxa"/>
            </w:tcMar>
            <w:vAlign w:val="center"/>
          </w:tcPr>
          <w:p w14:paraId="6427FBF2">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lang w:bidi="ar"/>
              </w:rPr>
              <w:t>国际会议会展活动</w:t>
            </w:r>
          </w:p>
        </w:tc>
        <w:tc>
          <w:tcPr>
            <w:tcW w:w="1068" w:type="dxa"/>
            <w:noWrap w:val="0"/>
            <w:tcMar>
              <w:top w:w="96" w:type="dxa"/>
              <w:left w:w="85" w:type="dxa"/>
              <w:bottom w:w="96" w:type="dxa"/>
              <w:right w:w="85" w:type="dxa"/>
            </w:tcMar>
            <w:vAlign w:val="center"/>
          </w:tcPr>
          <w:p w14:paraId="151AE6E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项</w:t>
            </w:r>
          </w:p>
        </w:tc>
        <w:tc>
          <w:tcPr>
            <w:tcW w:w="990" w:type="dxa"/>
            <w:noWrap w:val="0"/>
            <w:tcMar>
              <w:top w:w="96" w:type="dxa"/>
              <w:left w:w="85" w:type="dxa"/>
              <w:bottom w:w="96" w:type="dxa"/>
              <w:right w:w="85" w:type="dxa"/>
            </w:tcMar>
            <w:vAlign w:val="center"/>
          </w:tcPr>
          <w:p w14:paraId="63583A9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3</w:t>
            </w:r>
          </w:p>
        </w:tc>
        <w:tc>
          <w:tcPr>
            <w:tcW w:w="1193" w:type="dxa"/>
            <w:noWrap w:val="0"/>
            <w:tcMar>
              <w:top w:w="96" w:type="dxa"/>
              <w:left w:w="85" w:type="dxa"/>
              <w:bottom w:w="96" w:type="dxa"/>
              <w:right w:w="85" w:type="dxa"/>
            </w:tcMar>
            <w:vAlign w:val="center"/>
          </w:tcPr>
          <w:p w14:paraId="3622AE13">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6</w:t>
            </w:r>
          </w:p>
        </w:tc>
        <w:tc>
          <w:tcPr>
            <w:tcW w:w="903" w:type="dxa"/>
            <w:noWrap w:val="0"/>
            <w:tcMar>
              <w:top w:w="96" w:type="dxa"/>
              <w:left w:w="85" w:type="dxa"/>
              <w:bottom w:w="96" w:type="dxa"/>
              <w:right w:w="85" w:type="dxa"/>
            </w:tcMar>
            <w:vAlign w:val="center"/>
          </w:tcPr>
          <w:p w14:paraId="5BADDE7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预期性</w:t>
            </w:r>
          </w:p>
        </w:tc>
      </w:tr>
      <w:tr w14:paraId="5235BA5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4F3FD751">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12</w:t>
            </w:r>
          </w:p>
        </w:tc>
        <w:tc>
          <w:tcPr>
            <w:tcW w:w="643" w:type="dxa"/>
            <w:vMerge w:val="restart"/>
            <w:noWrap w:val="0"/>
            <w:tcMar>
              <w:top w:w="96" w:type="dxa"/>
              <w:left w:w="85" w:type="dxa"/>
              <w:bottom w:w="96" w:type="dxa"/>
              <w:right w:w="85" w:type="dxa"/>
            </w:tcMar>
            <w:vAlign w:val="center"/>
          </w:tcPr>
          <w:p w14:paraId="35D0EAE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安全可控</w:t>
            </w:r>
          </w:p>
        </w:tc>
        <w:tc>
          <w:tcPr>
            <w:tcW w:w="3576" w:type="dxa"/>
            <w:noWrap w:val="0"/>
            <w:tcMar>
              <w:top w:w="96" w:type="dxa"/>
              <w:left w:w="85" w:type="dxa"/>
              <w:bottom w:w="96" w:type="dxa"/>
              <w:right w:w="85" w:type="dxa"/>
            </w:tcMar>
            <w:vAlign w:val="center"/>
          </w:tcPr>
          <w:p w14:paraId="6E556167">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训练数据违法信息比例</w:t>
            </w:r>
          </w:p>
        </w:tc>
        <w:tc>
          <w:tcPr>
            <w:tcW w:w="1068" w:type="dxa"/>
            <w:noWrap w:val="0"/>
            <w:tcMar>
              <w:top w:w="96" w:type="dxa"/>
              <w:left w:w="85" w:type="dxa"/>
              <w:bottom w:w="96" w:type="dxa"/>
              <w:right w:w="85" w:type="dxa"/>
            </w:tcMar>
            <w:vAlign w:val="center"/>
          </w:tcPr>
          <w:p w14:paraId="36E0404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w:t>
            </w:r>
          </w:p>
        </w:tc>
        <w:tc>
          <w:tcPr>
            <w:tcW w:w="990" w:type="dxa"/>
            <w:noWrap w:val="0"/>
            <w:tcMar>
              <w:top w:w="96" w:type="dxa"/>
              <w:left w:w="85" w:type="dxa"/>
              <w:bottom w:w="96" w:type="dxa"/>
              <w:right w:w="85" w:type="dxa"/>
            </w:tcMar>
            <w:vAlign w:val="center"/>
          </w:tcPr>
          <w:p w14:paraId="682585A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w:t>
            </w:r>
          </w:p>
        </w:tc>
        <w:tc>
          <w:tcPr>
            <w:tcW w:w="1193" w:type="dxa"/>
            <w:noWrap w:val="0"/>
            <w:tcMar>
              <w:top w:w="96" w:type="dxa"/>
              <w:left w:w="85" w:type="dxa"/>
              <w:bottom w:w="96" w:type="dxa"/>
              <w:right w:w="85" w:type="dxa"/>
            </w:tcMar>
            <w:vAlign w:val="center"/>
          </w:tcPr>
          <w:p w14:paraId="635BA9A3">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≤5</w:t>
            </w:r>
          </w:p>
        </w:tc>
        <w:tc>
          <w:tcPr>
            <w:tcW w:w="903" w:type="dxa"/>
            <w:noWrap w:val="0"/>
            <w:tcMar>
              <w:top w:w="96" w:type="dxa"/>
              <w:left w:w="85" w:type="dxa"/>
              <w:bottom w:w="96" w:type="dxa"/>
              <w:right w:w="85" w:type="dxa"/>
            </w:tcMar>
            <w:vAlign w:val="center"/>
          </w:tcPr>
          <w:p w14:paraId="6E54F819">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约束性</w:t>
            </w:r>
          </w:p>
        </w:tc>
      </w:tr>
      <w:tr w14:paraId="07C745A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43" w:type="dxa"/>
            <w:noWrap w:val="0"/>
            <w:tcMar>
              <w:top w:w="96" w:type="dxa"/>
              <w:left w:w="85" w:type="dxa"/>
              <w:bottom w:w="96" w:type="dxa"/>
              <w:right w:w="85" w:type="dxa"/>
            </w:tcMar>
            <w:vAlign w:val="center"/>
          </w:tcPr>
          <w:p w14:paraId="269B0427">
            <w:pPr>
              <w:keepNext w:val="0"/>
              <w:keepLines w:val="0"/>
              <w:widowControl/>
              <w:suppressLineNumbers w:val="0"/>
              <w:adjustRightInd w:val="0"/>
              <w:spacing w:line="312" w:lineRule="atLeast"/>
              <w:jc w:val="center"/>
              <w:textAlignment w:val="center"/>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i w:val="0"/>
                <w:color w:val="000000"/>
                <w:kern w:val="0"/>
                <w:sz w:val="28"/>
                <w:szCs w:val="28"/>
                <w:u w:val="none"/>
                <w:lang w:val="en-US" w:eastAsia="zh-CN" w:bidi="ar"/>
              </w:rPr>
              <w:t>13</w:t>
            </w:r>
          </w:p>
        </w:tc>
        <w:tc>
          <w:tcPr>
            <w:tcW w:w="643" w:type="dxa"/>
            <w:vMerge w:val="continue"/>
            <w:noWrap w:val="0"/>
            <w:tcMar>
              <w:top w:w="96" w:type="dxa"/>
              <w:left w:w="85" w:type="dxa"/>
              <w:bottom w:w="96" w:type="dxa"/>
              <w:right w:w="85" w:type="dxa"/>
            </w:tcMar>
            <w:vAlign w:val="center"/>
          </w:tcPr>
          <w:p w14:paraId="6647D00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p>
        </w:tc>
        <w:tc>
          <w:tcPr>
            <w:tcW w:w="3576" w:type="dxa"/>
            <w:noWrap w:val="0"/>
            <w:tcMar>
              <w:top w:w="96" w:type="dxa"/>
              <w:left w:w="85" w:type="dxa"/>
              <w:bottom w:w="96" w:type="dxa"/>
              <w:right w:w="85" w:type="dxa"/>
            </w:tcMar>
            <w:vAlign w:val="center"/>
          </w:tcPr>
          <w:p w14:paraId="053A63E7">
            <w:pPr>
              <w:keepNext w:val="0"/>
              <w:keepLines w:val="0"/>
              <w:pageBreakBefore w:val="0"/>
              <w:widowControl w:val="0"/>
              <w:tabs>
                <w:tab w:val="left" w:pos="3792"/>
              </w:tabs>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模型生成内容综合合格率</w:t>
            </w:r>
          </w:p>
        </w:tc>
        <w:tc>
          <w:tcPr>
            <w:tcW w:w="1068" w:type="dxa"/>
            <w:noWrap w:val="0"/>
            <w:tcMar>
              <w:top w:w="96" w:type="dxa"/>
              <w:left w:w="85" w:type="dxa"/>
              <w:bottom w:w="96" w:type="dxa"/>
              <w:right w:w="85" w:type="dxa"/>
            </w:tcMar>
            <w:vAlign w:val="center"/>
          </w:tcPr>
          <w:p w14:paraId="3B80FC1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w:t>
            </w:r>
          </w:p>
        </w:tc>
        <w:tc>
          <w:tcPr>
            <w:tcW w:w="990" w:type="dxa"/>
            <w:noWrap w:val="0"/>
            <w:tcMar>
              <w:top w:w="96" w:type="dxa"/>
              <w:left w:w="85" w:type="dxa"/>
              <w:bottom w:w="96" w:type="dxa"/>
              <w:right w:w="85" w:type="dxa"/>
            </w:tcMar>
            <w:vAlign w:val="center"/>
          </w:tcPr>
          <w:p w14:paraId="17ED297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w:t>
            </w:r>
          </w:p>
        </w:tc>
        <w:tc>
          <w:tcPr>
            <w:tcW w:w="1193" w:type="dxa"/>
            <w:noWrap w:val="0"/>
            <w:tcMar>
              <w:top w:w="96" w:type="dxa"/>
              <w:left w:w="85" w:type="dxa"/>
              <w:bottom w:w="96" w:type="dxa"/>
              <w:right w:w="85" w:type="dxa"/>
            </w:tcMar>
            <w:vAlign w:val="center"/>
          </w:tcPr>
          <w:p w14:paraId="5443FBB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≥90</w:t>
            </w:r>
          </w:p>
        </w:tc>
        <w:tc>
          <w:tcPr>
            <w:tcW w:w="903" w:type="dxa"/>
            <w:noWrap w:val="0"/>
            <w:tcMar>
              <w:top w:w="96" w:type="dxa"/>
              <w:left w:w="85" w:type="dxa"/>
              <w:bottom w:w="96" w:type="dxa"/>
              <w:right w:w="85" w:type="dxa"/>
            </w:tcMar>
            <w:vAlign w:val="center"/>
          </w:tcPr>
          <w:p w14:paraId="06A7D8E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约束性</w:t>
            </w:r>
          </w:p>
        </w:tc>
      </w:tr>
    </w:tbl>
    <w:p w14:paraId="61BAED0E">
      <w:pPr>
        <w:keepNext w:val="0"/>
        <w:keepLines w:val="0"/>
        <w:pageBreakBefore w:val="0"/>
        <w:widowControl w:val="0"/>
        <w:kinsoku/>
        <w:wordWrap/>
        <w:overflowPunct/>
        <w:topLinePunct w:val="0"/>
        <w:autoSpaceDE/>
        <w:autoSpaceDN/>
        <w:bidi w:val="0"/>
        <w:adjustRightInd w:val="0"/>
        <w:snapToGrid w:val="0"/>
        <w:spacing w:before="60" w:beforeLines="10" w:line="240" w:lineRule="auto"/>
        <w:ind w:left="560" w:leftChars="0" w:right="0" w:rightChars="0" w:hanging="560" w:hangingChars="200"/>
        <w:jc w:val="both"/>
        <w:textAlignment w:val="auto"/>
        <w:outlineLvl w:val="9"/>
        <w:rPr>
          <w:rFonts w:hint="eastAsia" w:ascii="方正仿宋_GBK" w:hAnsi="方正仿宋_GBK" w:eastAsia="方正仿宋_GBK" w:cs="方正仿宋_GBK"/>
          <w:kern w:val="0"/>
          <w:sz w:val="28"/>
          <w:szCs w:val="28"/>
          <w:highlight w:val="none"/>
          <w:u w:val="none"/>
        </w:rPr>
      </w:pPr>
      <w:bookmarkStart w:id="0" w:name="_Toc26147"/>
      <w:r>
        <w:rPr>
          <w:rFonts w:hint="eastAsia" w:ascii="方正仿宋_GBK" w:hAnsi="方正仿宋_GBK" w:eastAsia="方正仿宋_GBK" w:cs="方正仿宋_GBK"/>
          <w:kern w:val="0"/>
          <w:sz w:val="28"/>
          <w:szCs w:val="28"/>
          <w:highlight w:val="none"/>
          <w:u w:val="none"/>
        </w:rPr>
        <w:t>注：</w:t>
      </w:r>
      <w:r>
        <w:rPr>
          <w:rFonts w:hint="eastAsia" w:ascii="方正仿宋_GBK" w:hAnsi="方正仿宋_GBK" w:eastAsia="方正仿宋_GBK" w:cs="方正仿宋_GBK"/>
          <w:kern w:val="0"/>
          <w:sz w:val="28"/>
          <w:szCs w:val="28"/>
          <w:highlight w:val="none"/>
          <w:u w:val="none"/>
          <w:lang w:val="en-US" w:eastAsia="zh-CN"/>
        </w:rPr>
        <w:t>1．</w:t>
      </w:r>
      <w:r>
        <w:rPr>
          <w:rFonts w:hint="eastAsia" w:ascii="方正仿宋_GBK" w:hAnsi="方正仿宋_GBK" w:eastAsia="方正仿宋_GBK" w:cs="方正仿宋_GBK"/>
          <w:kern w:val="0"/>
          <w:sz w:val="28"/>
          <w:szCs w:val="28"/>
          <w:highlight w:val="none"/>
          <w:u w:val="none"/>
        </w:rPr>
        <w:t>【】为累计数。</w:t>
      </w:r>
    </w:p>
    <w:p w14:paraId="191A2D2C">
      <w:pPr>
        <w:keepNext w:val="0"/>
        <w:keepLines w:val="0"/>
        <w:pageBreakBefore w:val="0"/>
        <w:widowControl w:val="0"/>
        <w:kinsoku/>
        <w:wordWrap/>
        <w:overflowPunct/>
        <w:topLinePunct w:val="0"/>
        <w:autoSpaceDE/>
        <w:autoSpaceDN/>
        <w:bidi w:val="0"/>
        <w:adjustRightInd w:val="0"/>
        <w:snapToGrid w:val="0"/>
        <w:spacing w:before="60" w:beforeLines="10" w:line="240" w:lineRule="auto"/>
        <w:ind w:left="846" w:leftChars="122" w:right="0" w:rightChars="0" w:hanging="590" w:hangingChars="211"/>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eastAsia="zh-CN"/>
        </w:rPr>
        <w:t>２．</w:t>
      </w:r>
      <w:r>
        <w:rPr>
          <w:rFonts w:hint="eastAsia" w:ascii="方正仿宋_GBK" w:hAnsi="方正仿宋_GBK" w:eastAsia="方正仿宋_GBK" w:cs="方正仿宋_GBK"/>
          <w:kern w:val="0"/>
          <w:sz w:val="28"/>
          <w:szCs w:val="28"/>
          <w:highlight w:val="none"/>
          <w:u w:val="none"/>
        </w:rPr>
        <w:t>本</w:t>
      </w:r>
      <w:r>
        <w:rPr>
          <w:rFonts w:hint="eastAsia" w:ascii="方正仿宋_GBK" w:hAnsi="方正仿宋_GBK" w:eastAsia="方正仿宋_GBK" w:cs="方正仿宋_GBK"/>
          <w:spacing w:val="-2"/>
          <w:kern w:val="0"/>
          <w:sz w:val="28"/>
          <w:szCs w:val="28"/>
          <w:highlight w:val="none"/>
          <w:u w:val="none"/>
        </w:rPr>
        <w:t>规划所列指标，仅作发展方向引导与政策参考，不构成对相关行业市场准</w:t>
      </w:r>
      <w:r>
        <w:rPr>
          <w:rFonts w:hint="eastAsia" w:ascii="方正仿宋_GBK" w:hAnsi="方正仿宋_GBK" w:eastAsia="方正仿宋_GBK" w:cs="方正仿宋_GBK"/>
          <w:kern w:val="0"/>
          <w:sz w:val="28"/>
          <w:szCs w:val="28"/>
          <w:highlight w:val="none"/>
          <w:u w:val="none"/>
        </w:rPr>
        <w:t>入的总量限制。</w:t>
      </w:r>
    </w:p>
    <w:p w14:paraId="3E5192BE">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二、强化人工智能自主创新能力</w:t>
      </w:r>
      <w:bookmarkEnd w:id="0"/>
    </w:p>
    <w:p w14:paraId="534C88C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1" w:name="_Toc22959"/>
      <w:r>
        <w:rPr>
          <w:rFonts w:hint="eastAsia" w:ascii="方正仿宋_GBK" w:hAnsi="方正仿宋_GBK" w:eastAsia="方正仿宋_GBK" w:cs="方正仿宋_GBK"/>
          <w:kern w:val="0"/>
          <w:sz w:val="28"/>
          <w:szCs w:val="28"/>
          <w:highlight w:val="none"/>
          <w:u w:val="none"/>
        </w:rPr>
        <w:t>（一）构建“两院一湾”创新策源新生态</w:t>
      </w:r>
      <w:bookmarkEnd w:id="1"/>
    </w:p>
    <w:p w14:paraId="690F9BAC">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做强重庆通用人工智能研究院技术策源能力。攻关具备“跨领域泛化、自主学习进化、价值驱动决策”能力的通用人工智能技术。以智能体进化基座、大型社会模拟器、具身大脑平台技术为核心底座，构建“生物人—数字人—机器人”协同进化技术体系，围绕智能体全生命周期构建智能体开发及应用新模式。强化智能体应用技术攻关，推动通用人工智能技术在应急、医疗、教育、交通等政务场景应用，推进金融、制造、家居、商业等产业数智化转型。构建通用人工智能特色能力工具，打造创新创业创意平台，构建OPC（一人公司）产业生态。</w:t>
      </w:r>
    </w:p>
    <w:p w14:paraId="5F7DB87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做优重庆人工智能学院贯通式培养机制。探索“通识筑基—通智赋能—通用实战”人才培养体系，构建“学院基础培养、研究院科研实战、企业应用实践”发展模式，加快通用人工智能科研攻关与产业落地。聚焦通用智能体、具身智能、行业智能体等方向，引育行业领军人才，协同开展定制、交叉的人工智能产业技术人才培养，体系化输出兼具基础研究能力与产业实战能力的通用人工智能复合型人才。</w:t>
      </w:r>
    </w:p>
    <w:p w14:paraId="651302F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做大重庆人工智能湾区产业集聚规模。发展人工智能新产品新业态新模式，集聚智能体开发运营、具身智能产品转化、智能终端软硬件适配、人工智能芯片设计研发等产业资源，培育一批智能原生企业。探索人工智能全新商业模式，壮大模型即服务、装备即服务、智能体即服务等科技服务产业，推动可演化智能体、</w:t>
      </w:r>
      <w:r>
        <w:rPr>
          <w:rFonts w:hint="eastAsia" w:ascii="方正仿宋_GBK" w:hAnsi="方正仿宋_GBK" w:eastAsia="方正仿宋_GBK" w:cs="方正仿宋_GBK"/>
          <w:spacing w:val="-6"/>
          <w:kern w:val="0"/>
          <w:sz w:val="28"/>
          <w:szCs w:val="28"/>
          <w:highlight w:val="none"/>
          <w:u w:val="none"/>
        </w:rPr>
        <w:t>具身智能产品等向行业场景规模化交付，培育一批智能原生新产品。</w:t>
      </w:r>
    </w:p>
    <w:p w14:paraId="7518D039">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做通“两院一湾”一体化协同发展链路。推动重庆人工智能学院人才培养方案与湾区产业发展需求精准对接，加快重庆通用人工智能研究院重要成果向湾区行业生态转化，支持重庆人工智能湾区多元真实应用场景向研究院科研立项和学院教学实践开放。支持联动国产软硬件厂商、开源社区与产业创新主体，培育壮大数字资源开发应用新平台新业态。探索建立适应智能原生企业及新业态发展的就业、社会保障、市场监管与财政支持制度。</w:t>
      </w:r>
    </w:p>
    <w:p w14:paraId="1F96846C">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专栏2</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 xml:space="preserve"> “两院一湾”重大平台</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0C3FC71B">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96" w:type="dxa"/>
              <w:left w:w="142" w:type="dxa"/>
              <w:bottom w:w="130" w:type="dxa"/>
              <w:right w:w="142" w:type="dxa"/>
            </w:tcMar>
            <w:vAlign w:val="center"/>
          </w:tcPr>
          <w:p w14:paraId="6B5B74C0">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智</w:t>
            </w:r>
            <w:r>
              <w:rPr>
                <w:rFonts w:hint="eastAsia" w:ascii="方正仿宋_GBK" w:hAnsi="方正仿宋_GBK" w:eastAsia="方正仿宋_GBK" w:cs="方正仿宋_GBK"/>
                <w:spacing w:val="5"/>
                <w:kern w:val="0"/>
                <w:sz w:val="28"/>
                <w:szCs w:val="28"/>
                <w:highlight w:val="none"/>
                <w:u w:val="none"/>
                <w:lang w:bidi="ar"/>
              </w:rPr>
              <w:t>能体创制与演化服务平台。构建智能体一站式创制、训练、部署到持续演化平台，提供行业模板复用、全要素资源管理、多模态感知与决策规划等核心能力，实现“人进行人工智能要素操作、智能体辅助人生产、人引导智能体生产”能力跃迁。</w:t>
            </w:r>
          </w:p>
          <w:p w14:paraId="2021D16A">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智能体评测服务平台。</w:t>
            </w:r>
            <w:r>
              <w:rPr>
                <w:rFonts w:hint="eastAsia" w:ascii="方正仿宋_GBK" w:hAnsi="方正仿宋_GBK" w:eastAsia="方正仿宋_GBK" w:cs="方正仿宋_GBK"/>
                <w:spacing w:val="-4"/>
                <w:kern w:val="0"/>
                <w:sz w:val="28"/>
                <w:szCs w:val="28"/>
                <w:highlight w:val="none"/>
                <w:u w:val="none"/>
                <w:lang w:bidi="ar"/>
              </w:rPr>
              <w:t>构建智能体感知、认知、决策、执行、协同和安全等多维度标准化评测平台，提供全类型智能体统一接入、多维度能力评测、安全可控验证、等级认证与开放服务等核心能力，实现“训练—评测—认证—服务”全链路评测服务闭环。</w:t>
            </w:r>
          </w:p>
          <w:p w14:paraId="741A49EA">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社会治理服务平台。构建城市治理现代化与公共服务一体化仿真推演与决策支撑平台，集成人口要素宏观态势推演、资源配置优化、拟人化智能交互等核心能力，为住建、公共安全、医疗健康等行业提供全方位决策支撑。</w:t>
            </w:r>
          </w:p>
          <w:p w14:paraId="041D038D">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创新创业创意服务平台。构建全流程人工智能辅助创作与数字资产流通服务平台，集成时空场景智能重建、虚拟角色开发、跨模态艺术创作、数字资产确权评估及供需智能撮合等核心能力，为XR（扩展现实）空间、影视剧、电子商务等多场景提供全链路智能化支撑。</w:t>
            </w:r>
          </w:p>
        </w:tc>
      </w:tr>
    </w:tbl>
    <w:p w14:paraId="56D47713">
      <w:pPr>
        <w:keepNext w:val="0"/>
        <w:keepLines w:val="0"/>
        <w:pageBreakBefore w:val="0"/>
        <w:widowControl w:val="0"/>
        <w:kinsoku/>
        <w:wordWrap/>
        <w:overflowPunct/>
        <w:topLinePunct w:val="0"/>
        <w:autoSpaceDE/>
        <w:autoSpaceDN/>
        <w:bidi w:val="0"/>
        <w:adjustRightInd w:val="0"/>
        <w:snapToGrid/>
        <w:spacing w:before="31" w:beforeLines="5"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2" w:name="_Toc22494"/>
      <w:r>
        <w:rPr>
          <w:rFonts w:hint="eastAsia" w:ascii="方正仿宋_GBK" w:hAnsi="方正仿宋_GBK" w:eastAsia="方正仿宋_GBK" w:cs="方正仿宋_GBK"/>
          <w:kern w:val="0"/>
          <w:sz w:val="28"/>
          <w:szCs w:val="28"/>
          <w:highlight w:val="none"/>
          <w:u w:val="none"/>
        </w:rPr>
        <w:t>（二）强化关键核心技术攻关</w:t>
      </w:r>
      <w:bookmarkEnd w:id="2"/>
    </w:p>
    <w:p w14:paraId="1F12773A">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攻关人工智能基础理论与前沿架构技术。围绕智能的表征、计算等开展基础研究，加强模型运行机理、人机协同创新与生产组织范式研究。推动多模态语料数据虚实融合，提升多模态数据供给和治理能力，探索</w:t>
      </w:r>
      <w:r>
        <w:rPr>
          <w:rFonts w:hint="eastAsia" w:ascii="方正仿宋_GBK" w:hAnsi="方正仿宋_GBK" w:eastAsia="方正仿宋_GBK" w:cs="方正仿宋_GBK"/>
          <w:kern w:val="0"/>
          <w:sz w:val="28"/>
          <w:szCs w:val="28"/>
          <w:highlight w:val="none"/>
          <w:u w:val="none"/>
          <w:lang w:eastAsia="zh-CN"/>
        </w:rPr>
        <w:t>构建</w:t>
      </w:r>
      <w:r>
        <w:rPr>
          <w:rFonts w:hint="eastAsia" w:ascii="方正仿宋_GBK" w:hAnsi="方正仿宋_GBK" w:eastAsia="方正仿宋_GBK" w:cs="方正仿宋_GBK"/>
          <w:kern w:val="0"/>
          <w:sz w:val="28"/>
          <w:szCs w:val="28"/>
          <w:highlight w:val="none"/>
          <w:u w:val="none"/>
        </w:rPr>
        <w:t>语料数据工程方法技术体系。强化高效训练推理与多模态感知融合等通用技术研发，探索人工智能新型架构，研究高质量数据驱动、关联领域知识引导、内隐物理定律约束相互结合的人工智能新理论模型。发展生成式世界模型，构建统一的环境认知基础，开展集超大时空与智能体集群为一体的社会模拟研究。探索通用人工智能技术路径，</w:t>
      </w:r>
      <w:r>
        <w:rPr>
          <w:rFonts w:hint="eastAsia" w:ascii="方正仿宋_GBK" w:hAnsi="方正仿宋_GBK" w:eastAsia="方正仿宋_GBK" w:cs="方正仿宋_GBK"/>
          <w:kern w:val="0"/>
          <w:sz w:val="28"/>
          <w:szCs w:val="28"/>
          <w:highlight w:val="none"/>
          <w:u w:val="none"/>
          <w:lang w:val="en-US" w:eastAsia="zh-CN"/>
        </w:rPr>
        <w:t>探索</w:t>
      </w:r>
      <w:r>
        <w:rPr>
          <w:rFonts w:hint="eastAsia" w:ascii="方正仿宋_GBK" w:hAnsi="方正仿宋_GBK" w:eastAsia="方正仿宋_GBK" w:cs="方正仿宋_GBK"/>
          <w:kern w:val="0"/>
          <w:sz w:val="28"/>
          <w:szCs w:val="28"/>
          <w:highlight w:val="none"/>
          <w:u w:val="none"/>
        </w:rPr>
        <w:t>可信、可解释、可演进的通用智能体系统。</w:t>
      </w:r>
    </w:p>
    <w:p w14:paraId="7B29C4D9">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攻关智能体与具身智能技术。推动智能体自主决策、智能控制、因果推理、价值驱动、复杂协同交互、自我进化等技术突破，构建具备任务规划、工具调用、学习推理等能力的智能体框架。构建具身智能领域多模态数据采集与统一表征、高保真仿真与数字孪生、具身模型训练框架、跨本体技能迁移与泛化、长程任务规划等关键技术体系。突破具身大脑与小脑核心技术，促进认知决策与运动控制深度融合。研发具身智能操作系统和应用框架，提升环境感知、语言交互、推理决策和高度泛化能力。探索世界模型与具身智能的深度融合，研发面向物理交互场景的世界模拟器。突破具身智能本体核心零部件技术。</w:t>
      </w:r>
    </w:p>
    <w:p w14:paraId="7B65F73C">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攻关核心软件与使能技术。加快研发基础软件、工业软件、人工智能软件等领域的操作系统、数据库、中间件与工程化工具链，加速迭代生成式设计引擎、智能生产管控、智能运维软件、智能代码生成等技术产品。强化国产算力适配、全栈调优和云边端协同能力，构建可持续演进的核心软件产品体系。加强国产智算芯片与国产深度学习框架的适配优化，推动多框架协同运行，提升国产算力平台的编译器、算子库适配、性能调优等全栈使能技术能力。</w:t>
      </w:r>
    </w:p>
    <w:p w14:paraId="587983CC">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攻关高端器件与芯片核心技术。探索发展通用人工智能芯片</w:t>
      </w:r>
      <w:r>
        <w:rPr>
          <w:rFonts w:hint="eastAsia" w:ascii="方正仿宋_GBK" w:hAnsi="方正仿宋_GBK" w:eastAsia="方正仿宋_GBK" w:cs="方正仿宋_GBK"/>
          <w:kern w:val="0"/>
          <w:sz w:val="28"/>
          <w:szCs w:val="28"/>
          <w:highlight w:val="none"/>
          <w:u w:val="none"/>
          <w:lang w:eastAsia="zh-CN"/>
        </w:rPr>
        <w:t>，</w:t>
      </w:r>
      <w:r>
        <w:rPr>
          <w:rFonts w:hint="eastAsia" w:ascii="方正仿宋_GBK" w:hAnsi="方正仿宋_GBK" w:eastAsia="方正仿宋_GBK" w:cs="方正仿宋_GBK"/>
          <w:kern w:val="0"/>
          <w:sz w:val="28"/>
          <w:szCs w:val="28"/>
          <w:highlight w:val="none"/>
          <w:u w:val="none"/>
        </w:rPr>
        <w:t>构建从底层架构、核心器件到系统集成的全链条技术攻关体系。前瞻布局先导性器件与芯片，推动先进封装、光互连、高效散热等技术研发，加快突破先进制程与新型计算架构创新技术。强化集成电路核心产品战略布局，发展具身智能芯片、高性能计算芯片、硅光芯片等核心产品，构建从设计、制造到封装测试的全链条创新生态。</w:t>
      </w:r>
    </w:p>
    <w:p w14:paraId="0CB78278">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攻关人工智能可信治理技术。围绕数据安全，发展隐私计算、联邦学习、数据脱敏等技术，构建全链路数据安全防护体系。围绕模型安全，统筹模型供应链可信运行与大模型安全可信能力建设，提升模型鲁棒性、可解释性和价值对齐能力。围绕内容安全，研发深度伪造检测与溯源、内容生成安全防御等技术，建设人工智能安全评测基础设施和测试靶场。围绕行为管控，发展规则内嵌、行为围栏等技术，确保智能体在公共场所、隐私场所、专门场所等的行为合法合规。</w:t>
      </w:r>
    </w:p>
    <w:p w14:paraId="70522751">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专栏3</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 xml:space="preserve"> 关键核心技术攻关重点方向</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35248FF5">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113" w:type="dxa"/>
              <w:left w:w="142" w:type="dxa"/>
              <w:bottom w:w="113" w:type="dxa"/>
              <w:right w:w="142" w:type="dxa"/>
            </w:tcMar>
            <w:vAlign w:val="center"/>
          </w:tcPr>
          <w:p w14:paraId="147B9F1E">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通用人工智能理论前沿探索。开展跨领域泛化、自主学习进化与价值驱动决策等关键理论研究，探索可信可解释可演进的通用智能系统新架构。</w:t>
            </w:r>
          </w:p>
          <w:p w14:paraId="3333F871">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高端人工智能芯片关键技术攻关。开展存算一体与异构计算架构设计、十万卡级智算集群硬件互联、面向具身智能的低功耗高算力边缘芯片、高性能计算芯片芯粒集成等技术攻关。</w:t>
            </w:r>
          </w:p>
          <w:p w14:paraId="4EBD6454">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高质量数据工程关键技术攻关。开展大规模多模态语料数据采集与处理、高智力密度数据合成、数据质量评估与治理等技术攻关。</w:t>
            </w:r>
          </w:p>
          <w:p w14:paraId="42E54CFD">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智能体自主进化与协同关键技术攻关。开展因果推理与价值驱动决策、跨域任务规划与工具调用、异构异质智能体协同与智能体集群协同等技术攻关。</w:t>
            </w:r>
          </w:p>
          <w:p w14:paraId="0C3FD134">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生成式世界模型关键技术攻关。开展三维场景理解与重建、空间语义推理、多视角感知融合、物理环境动态推演与自适应预判等技术攻关。</w:t>
            </w:r>
          </w:p>
          <w:p w14:paraId="45C68877">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具身智能本体与核心技术攻关。开展大小脑融合与协同训练、高保真仿真与虚实协同训练、高可靠传动和直线作动系统、高性能智能控制、一体化关节模组、仿生灵巧手及多模态传感器等技术攻关。</w:t>
            </w:r>
          </w:p>
        </w:tc>
      </w:tr>
    </w:tbl>
    <w:p w14:paraId="2B4747D1">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3" w:name="_Toc21580"/>
      <w:r>
        <w:rPr>
          <w:rFonts w:hint="eastAsia" w:ascii="方正仿宋_GBK" w:hAnsi="方正仿宋_GBK" w:eastAsia="方正仿宋_GBK" w:cs="方正仿宋_GBK"/>
          <w:kern w:val="0"/>
          <w:sz w:val="28"/>
          <w:szCs w:val="28"/>
          <w:highlight w:val="none"/>
          <w:u w:val="none"/>
        </w:rPr>
        <w:t>（三）建设人工智能高能级科创平台</w:t>
      </w:r>
      <w:bookmarkEnd w:id="3"/>
    </w:p>
    <w:p w14:paraId="731002E1">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构建高能级科创平台体系。构建以重庆通用人工智能研究院为技术引领的科创平台体系。支持重庆信息与智慧医学研究院建设重庆智慧药物创智中心，打造人工智能药物研发智能体训练场。支持嘉陵江实验室建设复杂场景智能无人装备系统协同创新平台，打造具身智能装备虚实融合综合试验场。支持金凤实验室打造高能级智慧病理标算平台、病理辅助诊断智能体。支持明月湖实验室打造“人工智能+先进材料”未来实验室。支持三峡实验室开展库区污染过程与防治、河库水文过程与环境演变等基础理论研究和关键核心技术攻关。强化重点高校前沿技术攻关与源头创新，布局一批人工智能领域技术创新中心、制造业创新中心、产业创新中心。</w:t>
      </w:r>
    </w:p>
    <w:p w14:paraId="56E4CBA0">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打造人工智能行业应用中试基地。建设国家人工智能应用中试基地（人力资源服务方向），面向岗位深度剖析、人力资源要素匹配等场景提供垂类大模型开发支撑能力。</w:t>
      </w:r>
      <w:r>
        <w:rPr>
          <w:rFonts w:hint="eastAsia" w:ascii="方正仿宋_GBK" w:hAnsi="方正仿宋_GBK" w:eastAsia="方正仿宋_GBK" w:cs="方正仿宋_GBK"/>
          <w:kern w:val="0"/>
          <w:sz w:val="28"/>
          <w:szCs w:val="28"/>
          <w:highlight w:val="none"/>
          <w:u w:val="none"/>
          <w:lang w:val="en-US" w:eastAsia="zh-CN"/>
        </w:rPr>
        <w:t>围绕我市优势领域培育</w:t>
      </w:r>
      <w:r>
        <w:rPr>
          <w:rFonts w:hint="eastAsia" w:ascii="方正仿宋_GBK" w:hAnsi="方正仿宋_GBK" w:eastAsia="方正仿宋_GBK" w:cs="方正仿宋_GBK"/>
          <w:kern w:val="0"/>
          <w:sz w:val="28"/>
          <w:szCs w:val="28"/>
          <w:highlight w:val="none"/>
          <w:u w:val="none"/>
        </w:rPr>
        <w:t>建设人工智能</w:t>
      </w:r>
      <w:r>
        <w:rPr>
          <w:rFonts w:hint="eastAsia" w:ascii="方正仿宋_GBK" w:hAnsi="方正仿宋_GBK" w:eastAsia="方正仿宋_GBK" w:cs="方正仿宋_GBK"/>
          <w:kern w:val="0"/>
          <w:sz w:val="28"/>
          <w:szCs w:val="28"/>
          <w:highlight w:val="none"/>
          <w:u w:val="none"/>
          <w:lang w:val="en-US" w:eastAsia="zh-CN"/>
        </w:rPr>
        <w:t>行业</w:t>
      </w:r>
      <w:r>
        <w:rPr>
          <w:rFonts w:hint="eastAsia" w:ascii="方正仿宋_GBK" w:hAnsi="方正仿宋_GBK" w:eastAsia="方正仿宋_GBK" w:cs="方正仿宋_GBK"/>
          <w:kern w:val="0"/>
          <w:sz w:val="28"/>
          <w:szCs w:val="28"/>
          <w:highlight w:val="none"/>
          <w:u w:val="none"/>
        </w:rPr>
        <w:t>应用中试基地，打造模型训练平台、数据开放枢纽、方案中试车间、标准转化渠道、人才培养中心。</w:t>
      </w:r>
    </w:p>
    <w:p w14:paraId="24DD7BF4">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 xml:space="preserve">专栏4 </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人工智能高能级科技创新平台</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79742063">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113" w:type="dxa"/>
              <w:left w:w="142" w:type="dxa"/>
              <w:bottom w:w="142" w:type="dxa"/>
              <w:right w:w="142" w:type="dxa"/>
            </w:tcMar>
            <w:vAlign w:val="center"/>
          </w:tcPr>
          <w:p w14:paraId="06F40227">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5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重庆通用人工智能研究院。攻关具身智能、行业智能体、多智能体、智能体伦理、社会智能等关键技术。</w:t>
            </w:r>
          </w:p>
          <w:p w14:paraId="5D14F351">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5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重庆信息与智慧医学研究院。聚焦“人工智能+”药物，建设人工智能辅助新靶标药物研发中心、基因编辑技术中心等。</w:t>
            </w:r>
          </w:p>
          <w:p w14:paraId="7E333E82">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5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人工智能行业应用中试基地。建设国家人工智能应用中试基地（人力资源服务方向）</w:t>
            </w:r>
            <w:r>
              <w:rPr>
                <w:rFonts w:hint="eastAsia" w:ascii="方正仿宋_GBK" w:hAnsi="方正仿宋_GBK" w:eastAsia="方正仿宋_GBK" w:cs="方正仿宋_GBK"/>
                <w:kern w:val="0"/>
                <w:sz w:val="28"/>
                <w:szCs w:val="28"/>
                <w:highlight w:val="none"/>
                <w:u w:val="none"/>
                <w:lang w:eastAsia="zh-CN" w:bidi="ar"/>
              </w:rPr>
              <w:t>，</w:t>
            </w:r>
            <w:r>
              <w:rPr>
                <w:rFonts w:hint="eastAsia" w:ascii="方正仿宋_GBK" w:hAnsi="方正仿宋_GBK" w:eastAsia="方正仿宋_GBK" w:cs="方正仿宋_GBK"/>
                <w:kern w:val="0"/>
                <w:sz w:val="28"/>
                <w:szCs w:val="28"/>
                <w:highlight w:val="none"/>
                <w:u w:val="none"/>
                <w:lang w:val="en-US" w:eastAsia="zh-CN" w:bidi="ar"/>
              </w:rPr>
              <w:t>围绕</w:t>
            </w:r>
            <w:r>
              <w:rPr>
                <w:rFonts w:hint="eastAsia" w:ascii="方正仿宋_GBK" w:hAnsi="方正仿宋_GBK" w:eastAsia="方正仿宋_GBK" w:cs="方正仿宋_GBK"/>
                <w:kern w:val="0"/>
                <w:sz w:val="28"/>
                <w:szCs w:val="28"/>
                <w:highlight w:val="none"/>
                <w:u w:val="none"/>
                <w:lang w:bidi="ar"/>
              </w:rPr>
              <w:t>医保、城市治理、</w:t>
            </w:r>
            <w:r>
              <w:rPr>
                <w:rFonts w:hint="eastAsia" w:ascii="方正仿宋_GBK" w:hAnsi="方正仿宋_GBK" w:eastAsia="方正仿宋_GBK" w:cs="方正仿宋_GBK"/>
                <w:kern w:val="0"/>
                <w:sz w:val="28"/>
                <w:szCs w:val="28"/>
                <w:highlight w:val="none"/>
                <w:u w:val="none"/>
                <w:lang w:val="en-US" w:eastAsia="zh-CN" w:bidi="ar"/>
              </w:rPr>
              <w:t>公共安全、</w:t>
            </w:r>
            <w:r>
              <w:rPr>
                <w:rFonts w:hint="eastAsia" w:ascii="方正仿宋_GBK" w:hAnsi="方正仿宋_GBK" w:eastAsia="方正仿宋_GBK" w:cs="方正仿宋_GBK"/>
                <w:kern w:val="0"/>
                <w:sz w:val="28"/>
                <w:szCs w:val="28"/>
                <w:highlight w:val="none"/>
                <w:u w:val="none"/>
                <w:lang w:bidi="ar"/>
              </w:rPr>
              <w:t>内河航运、具身智能等领域谋划建设人工智能应用中试基地。</w:t>
            </w:r>
          </w:p>
          <w:p w14:paraId="4AADD5F1">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5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重庆实验室。嘉陵江实验室聚焦“人工智能+”装备，建设高适应性具身智能无人装备等重点平台；金凤实验室聚焦“人工智能+”病理，建设智慧病理诊断系统，构建免疫力解构与评估干预体系；明月湖实验室聚焦“人工智能+”材料，建设材料大数据及人工智能设计中心等重点平台；三峡实验室聚焦“人工智能+”生态，开展人工智能赋能库区污染过程与防治等基础理论研究和关键核心技术攻关。</w:t>
            </w:r>
          </w:p>
          <w:p w14:paraId="6D2267B6">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50"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重点高校人工智能学院。建强重庆大学、西南大学、重庆邮电大学等高校人工智能学院</w:t>
            </w:r>
            <w:r>
              <w:rPr>
                <w:rFonts w:hint="eastAsia" w:ascii="方正仿宋_GBK" w:hAnsi="方正仿宋_GBK" w:eastAsia="方正仿宋_GBK" w:cs="方正仿宋_GBK"/>
                <w:kern w:val="0"/>
                <w:sz w:val="28"/>
                <w:szCs w:val="28"/>
                <w:highlight w:val="none"/>
                <w:u w:val="none"/>
                <w:lang w:eastAsia="zh-CN" w:bidi="ar"/>
              </w:rPr>
              <w:t>，</w:t>
            </w:r>
            <w:r>
              <w:rPr>
                <w:rFonts w:hint="eastAsia" w:ascii="方正仿宋_GBK" w:hAnsi="方正仿宋_GBK" w:eastAsia="方正仿宋_GBK" w:cs="方正仿宋_GBK"/>
                <w:kern w:val="0"/>
                <w:sz w:val="28"/>
                <w:szCs w:val="28"/>
                <w:highlight w:val="none"/>
                <w:u w:val="none"/>
                <w:lang w:bidi="ar"/>
              </w:rPr>
              <w:t>强化人工智能学科与人才队伍建设。</w:t>
            </w:r>
          </w:p>
        </w:tc>
      </w:tr>
    </w:tbl>
    <w:p w14:paraId="266FC761">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4" w:name="_Toc13762"/>
      <w:r>
        <w:rPr>
          <w:rFonts w:hint="eastAsia" w:ascii="方正仿宋_GBK" w:hAnsi="方正仿宋_GBK" w:eastAsia="方正仿宋_GBK" w:cs="方正仿宋_GBK"/>
          <w:kern w:val="0"/>
          <w:sz w:val="28"/>
          <w:szCs w:val="28"/>
          <w:highlight w:val="none"/>
          <w:u w:val="none"/>
        </w:rPr>
        <w:t>（四）加强创新人才支撑</w:t>
      </w:r>
      <w:bookmarkEnd w:id="4"/>
    </w:p>
    <w:p w14:paraId="167429B3">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加大人才培育力度。构建基础教育阶段人工智能通识教育体系。支持高等院校构建“人工智能+基础学科”专业发展格局，建设复合型拔尖创新人才培养共同体，推行“人工智能+行业技能”培养模式。支持市外高等院校来渝开展校企联合人才培养，推动职业院校与人工智能企业共建产教联合体或产教融合共同体，健全校企协同育人和人员互派互聘机制。开展金融、教育、医疗、科技等领域人工智能培训。</w:t>
      </w:r>
    </w:p>
    <w:p w14:paraId="09EE9494">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加大人才引进力度。用好市级引才计划，加快引进人工智能领域顶尖人才、领军人才和创新团队。加大青年科技人才引育力度，对具备高潜力、高成长性的青年科技人才给予长周期、稳定性支持。壮大高技能人才队伍，批量引进提示词工程师、算法工程师、智能驾驶系统工程师等人才。</w:t>
      </w:r>
    </w:p>
    <w:p w14:paraId="5F1F6E1B">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bookmarkStart w:id="5" w:name="_Toc6675"/>
      <w:r>
        <w:rPr>
          <w:rFonts w:hint="eastAsia" w:ascii="方正仿宋_GBK" w:hAnsi="方正仿宋_GBK" w:eastAsia="方正仿宋_GBK" w:cs="方正仿宋_GBK"/>
          <w:kern w:val="0"/>
          <w:sz w:val="28"/>
          <w:szCs w:val="28"/>
          <w:highlight w:val="none"/>
          <w:u w:val="none"/>
          <w:lang w:bidi="ar"/>
        </w:rPr>
        <w:t>三、夯实人工智能基础底座</w:t>
      </w:r>
      <w:bookmarkEnd w:id="5"/>
    </w:p>
    <w:p w14:paraId="196A0650">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6" w:name="_Toc27699"/>
      <w:r>
        <w:rPr>
          <w:rFonts w:hint="eastAsia" w:ascii="方正仿宋_GBK" w:hAnsi="方正仿宋_GBK" w:eastAsia="方正仿宋_GBK" w:cs="方正仿宋_GBK"/>
          <w:kern w:val="0"/>
          <w:sz w:val="28"/>
          <w:szCs w:val="28"/>
          <w:highlight w:val="none"/>
          <w:u w:val="none"/>
        </w:rPr>
        <w:t>（一）强化绿色智能算力供给</w:t>
      </w:r>
      <w:bookmarkEnd w:id="6"/>
    </w:p>
    <w:p w14:paraId="14FB8C24">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提升智能算力规模。深入推进“东数西算”工程，加快建设全国一体化算力网络成渝枢纽节点，优先在数据中心集群内建设融合算力基础设施，鼓励打造超大规模智能算力“万卡集群”，支持训练推理算力一体化建设，推动存量算力中心向智算中心升级改造，在渝东北、渝东南布局边缘计算中心与边缘侧算力节点。推动端侧算力协同部署，深化手机、汽车、物联网设备、工业终端等多元异构算力的“云—边—端”三级联动。深入实施“疆算入渝”工程，完善渝新算力合作机制，提升重庆—哈密算力网络带宽和性能，推动</w:t>
      </w:r>
      <w:r>
        <w:rPr>
          <w:rFonts w:hint="eastAsia" w:ascii="方正仿宋_GBK" w:hAnsi="方正仿宋_GBK" w:eastAsia="方正仿宋_GBK" w:cs="方正仿宋_GBK"/>
          <w:kern w:val="0"/>
          <w:sz w:val="28"/>
          <w:szCs w:val="28"/>
          <w:highlight w:val="none"/>
          <w:u w:val="none"/>
          <w:lang w:eastAsia="zh-CN"/>
        </w:rPr>
        <w:t>实现</w:t>
      </w:r>
      <w:r>
        <w:rPr>
          <w:rFonts w:hint="eastAsia" w:ascii="方正仿宋_GBK" w:hAnsi="方正仿宋_GBK" w:eastAsia="方正仿宋_GBK" w:cs="方正仿宋_GBK"/>
          <w:kern w:val="0"/>
          <w:sz w:val="28"/>
          <w:szCs w:val="28"/>
          <w:highlight w:val="none"/>
          <w:u w:val="none"/>
        </w:rPr>
        <w:t>新疆哈密算力跨区域调度与安全高效传输。</w:t>
      </w:r>
    </w:p>
    <w:p w14:paraId="6F1FB6F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强化智能算力调度。</w:t>
      </w:r>
      <w:r>
        <w:rPr>
          <w:rFonts w:hint="eastAsia" w:ascii="方正仿宋_GBK" w:hAnsi="方正仿宋_GBK" w:eastAsia="方正仿宋_GBK" w:cs="方正仿宋_GBK"/>
          <w:kern w:val="0"/>
          <w:sz w:val="28"/>
          <w:szCs w:val="28"/>
          <w:highlight w:val="none"/>
          <w:u w:val="none"/>
          <w:lang w:eastAsia="zh-CN"/>
        </w:rPr>
        <w:t>推动</w:t>
      </w:r>
      <w:r>
        <w:rPr>
          <w:rFonts w:hint="eastAsia" w:ascii="方正仿宋_GBK" w:hAnsi="方正仿宋_GBK" w:eastAsia="方正仿宋_GBK" w:cs="方正仿宋_GBK"/>
          <w:kern w:val="0"/>
          <w:sz w:val="28"/>
          <w:szCs w:val="28"/>
          <w:highlight w:val="none"/>
          <w:u w:val="none"/>
        </w:rPr>
        <w:t>升级国家（西部）算力调度平台，</w:t>
      </w:r>
      <w:r>
        <w:rPr>
          <w:rFonts w:hint="eastAsia" w:ascii="方正仿宋_GBK" w:hAnsi="方正仿宋_GBK" w:eastAsia="方正仿宋_GBK" w:cs="方正仿宋_GBK"/>
          <w:kern w:val="0"/>
          <w:sz w:val="28"/>
          <w:szCs w:val="28"/>
          <w:highlight w:val="none"/>
          <w:u w:val="none"/>
          <w:lang w:eastAsia="zh-CN"/>
        </w:rPr>
        <w:t>实现</w:t>
      </w:r>
      <w:r>
        <w:rPr>
          <w:rFonts w:hint="eastAsia" w:ascii="方正仿宋_GBK" w:hAnsi="方正仿宋_GBK" w:eastAsia="方正仿宋_GBK" w:cs="方正仿宋_GBK"/>
          <w:kern w:val="0"/>
          <w:sz w:val="28"/>
          <w:szCs w:val="28"/>
          <w:highlight w:val="none"/>
          <w:u w:val="none"/>
        </w:rPr>
        <w:t>跨区域、跨架构算力资源统一纳管、智能调度。对接全国一体化算力网监测调度试验验证平台，优化监测指标、动态采集数据，推进国家监测数据回流。利用自主可控新型网络通信协议技术，构建即联即算、毫秒用算、安全可靠的城市算网融合网络。推动算力资源并网池化，打造智能调度模型与智能体，探索不同场景下算力响应机制。</w:t>
      </w:r>
    </w:p>
    <w:p w14:paraId="23DEB8D8">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创新推动算电协同。探索“算—电—碳”协同联动，加强新建数据中心节能审查，推动数据中心开展绿电绿证交易、碳汇互认，推进老旧小散数据中心节能改造，推广“源网荷储”模式。探索数据中心绿电直连，鼓励绿色能源丰富</w:t>
      </w:r>
      <w:r>
        <w:rPr>
          <w:rFonts w:hint="eastAsia" w:ascii="方正仿宋_GBK" w:hAnsi="方正仿宋_GBK" w:eastAsia="方正仿宋_GBK" w:cs="方正仿宋_GBK"/>
          <w:kern w:val="0"/>
          <w:sz w:val="28"/>
          <w:szCs w:val="28"/>
          <w:highlight w:val="none"/>
          <w:u w:val="none"/>
          <w:lang w:val="en-US" w:eastAsia="zh-CN"/>
        </w:rPr>
        <w:t>的</w:t>
      </w:r>
      <w:r>
        <w:rPr>
          <w:rFonts w:hint="eastAsia" w:ascii="方正仿宋_GBK" w:hAnsi="方正仿宋_GBK" w:eastAsia="方正仿宋_GBK" w:cs="方正仿宋_GBK"/>
          <w:kern w:val="0"/>
          <w:sz w:val="28"/>
          <w:szCs w:val="28"/>
          <w:highlight w:val="none"/>
          <w:u w:val="none"/>
        </w:rPr>
        <w:t>区县开展数据中心绿电直连示范。建设智能微电网、虚拟电厂，基于新能源、新型储能系统开展算力负荷与电力系统的协同优化，新建数据中心绿色电力消费比例超过80%。</w:t>
      </w:r>
    </w:p>
    <w:p w14:paraId="1823EC5E">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实施“普惠算力”行动。探索</w:t>
      </w:r>
      <w:r>
        <w:rPr>
          <w:rFonts w:hint="eastAsia" w:ascii="方正仿宋_GBK" w:hAnsi="方正仿宋_GBK" w:eastAsia="方正仿宋_GBK" w:cs="方正仿宋_GBK"/>
          <w:kern w:val="0"/>
          <w:sz w:val="28"/>
          <w:szCs w:val="28"/>
          <w:highlight w:val="none"/>
          <w:u w:val="none"/>
          <w:lang w:val="en-US" w:eastAsia="zh-CN"/>
        </w:rPr>
        <w:t>发展</w:t>
      </w:r>
      <w:r>
        <w:rPr>
          <w:rFonts w:hint="eastAsia" w:ascii="方正仿宋_GBK" w:hAnsi="方正仿宋_GBK" w:eastAsia="方正仿宋_GBK" w:cs="方正仿宋_GBK"/>
          <w:kern w:val="0"/>
          <w:sz w:val="28"/>
          <w:szCs w:val="28"/>
          <w:highlight w:val="none"/>
          <w:u w:val="none"/>
        </w:rPr>
        <w:t>“算力银行”“算力超市”，加大市级算力券支持力度，积极争取国家人工智能券（算力券）支持，探索</w:t>
      </w:r>
      <w:r>
        <w:rPr>
          <w:rFonts w:hint="eastAsia" w:ascii="方正仿宋_GBK" w:hAnsi="方正仿宋_GBK" w:eastAsia="方正仿宋_GBK" w:cs="方正仿宋_GBK"/>
          <w:kern w:val="0"/>
          <w:sz w:val="28"/>
          <w:szCs w:val="28"/>
          <w:highlight w:val="none"/>
          <w:u w:val="none"/>
          <w:lang w:val="en-US" w:eastAsia="zh-CN"/>
        </w:rPr>
        <w:t>推行</w:t>
      </w:r>
      <w:r>
        <w:rPr>
          <w:rFonts w:hint="eastAsia" w:ascii="方正仿宋_GBK" w:hAnsi="方正仿宋_GBK" w:eastAsia="方正仿宋_GBK" w:cs="方正仿宋_GBK"/>
          <w:kern w:val="0"/>
          <w:sz w:val="28"/>
          <w:szCs w:val="28"/>
          <w:highlight w:val="none"/>
          <w:u w:val="none"/>
        </w:rPr>
        <w:t>“存力券”“运力券”“词元券”，支持租用智能算力资源开展大模型训练推理、数据标注、数据分析。探索词元经济新模式，创新词元产品服务，推行按“卡时”“核时”及词元按量计费等灵活付费模式，推动建立词元调用监测统计体系。</w:t>
      </w:r>
    </w:p>
    <w:p w14:paraId="6C7AB262">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 xml:space="preserve">专栏5 </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算力筑基重点工程</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0FDE0BC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113" w:type="dxa"/>
              <w:left w:w="142" w:type="dxa"/>
              <w:bottom w:w="113" w:type="dxa"/>
              <w:right w:w="142" w:type="dxa"/>
            </w:tcMar>
            <w:vAlign w:val="center"/>
          </w:tcPr>
          <w:p w14:paraId="3EE984A4">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东数西算工程。适度超前建设新型算力基础设施，建强全国一体化算力网络成渝（重庆）国家算力枢纽。</w:t>
            </w:r>
          </w:p>
          <w:p w14:paraId="39175C98">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疆算入渝工程。加快建设重庆（新疆）算力基地，依托低时延、低抖动、高带宽算力传输网络，提供低成本、绿色、高效的算力支撑。</w:t>
            </w:r>
          </w:p>
          <w:p w14:paraId="31BEBA34">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算力互联互通工程。完善国家算力互联互通重庆体系，推动通算、智算、超算及云、边、端等算力资源的标准化接入与统一调度，争创国家算力互联互通区域节点和行业节点。</w:t>
            </w:r>
          </w:p>
        </w:tc>
      </w:tr>
    </w:tbl>
    <w:p w14:paraId="64CE74F3">
      <w:pPr>
        <w:keepNext w:val="0"/>
        <w:keepLines w:val="0"/>
        <w:pageBreakBefore w:val="0"/>
        <w:widowControl w:val="0"/>
        <w:kinsoku/>
        <w:wordWrap/>
        <w:overflowPunct/>
        <w:topLinePunct w:val="0"/>
        <w:autoSpaceDE/>
        <w:autoSpaceDN/>
        <w:bidi w:val="0"/>
        <w:adjustRightInd w:val="0"/>
        <w:snapToGrid/>
        <w:spacing w:before="118" w:beforeLines="2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7" w:name="_Toc27914"/>
      <w:r>
        <w:rPr>
          <w:rFonts w:hint="eastAsia" w:ascii="方正仿宋_GBK" w:hAnsi="方正仿宋_GBK" w:eastAsia="方正仿宋_GBK" w:cs="方正仿宋_GBK"/>
          <w:kern w:val="0"/>
          <w:sz w:val="28"/>
          <w:szCs w:val="28"/>
          <w:highlight w:val="none"/>
          <w:u w:val="none"/>
        </w:rPr>
        <w:t>（二）激</w:t>
      </w:r>
      <w:r>
        <w:rPr>
          <w:rFonts w:hint="eastAsia" w:ascii="方正仿宋_GBK" w:hAnsi="方正仿宋_GBK" w:eastAsia="方正仿宋_GBK" w:cs="方正仿宋_GBK"/>
          <w:kern w:val="0"/>
          <w:sz w:val="28"/>
          <w:szCs w:val="28"/>
          <w:highlight w:val="none"/>
          <w:u w:val="none"/>
          <w:lang w:eastAsia="zh-CN"/>
        </w:rPr>
        <w:t>发</w:t>
      </w:r>
      <w:r>
        <w:rPr>
          <w:rFonts w:hint="eastAsia" w:ascii="方正仿宋_GBK" w:hAnsi="方正仿宋_GBK" w:eastAsia="方正仿宋_GBK" w:cs="方正仿宋_GBK"/>
          <w:kern w:val="0"/>
          <w:sz w:val="28"/>
          <w:szCs w:val="28"/>
          <w:highlight w:val="none"/>
          <w:u w:val="none"/>
        </w:rPr>
        <w:t>数据要素活力</w:t>
      </w:r>
      <w:bookmarkEnd w:id="7"/>
    </w:p>
    <w:p w14:paraId="10732AF6">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加快数据基础设施建设。建强一体化智能化公共数据平台，迭代升级“一体建设、两级管理、三级贯通”</w:t>
      </w:r>
      <w:r>
        <w:rPr>
          <w:rFonts w:hint="eastAsia" w:ascii="方正仿宋_GBK" w:hAnsi="方正仿宋_GBK" w:eastAsia="方正仿宋_GBK" w:cs="方正仿宋_GBK"/>
          <w:kern w:val="0"/>
          <w:sz w:val="28"/>
          <w:szCs w:val="28"/>
          <w:highlight w:val="none"/>
          <w:u w:val="none"/>
          <w:lang w:eastAsia="zh-CN"/>
        </w:rPr>
        <w:t>的</w:t>
      </w:r>
      <w:r>
        <w:rPr>
          <w:rFonts w:hint="eastAsia" w:ascii="方正仿宋_GBK" w:hAnsi="方正仿宋_GBK" w:eastAsia="方正仿宋_GBK" w:cs="方正仿宋_GBK"/>
          <w:kern w:val="0"/>
          <w:sz w:val="28"/>
          <w:szCs w:val="28"/>
          <w:highlight w:val="none"/>
          <w:u w:val="none"/>
        </w:rPr>
        <w:t>公共数据资源体系。推动数据流通利用基础设施建设，支持数场、数联网、数据元件、隐私保护计算等典型数据流通利用技术应用实践。加快城市、行业、企业可信数据空间协同发展，有序开放普惠性数据资源与技术工具，在合规前提下促进多源数据融合开发。</w:t>
      </w:r>
    </w:p>
    <w:p w14:paraId="64FBFA24">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强化高质量数据供给。强化多模态数据采集与基础标注能力建设，探索虚实协同的数据生成路径。分级分类推进高质量数据集建设，构建语料数据工具、标准、制度体系，打造合成数据工厂，定制化补充数据缺口，在政府侧和产业侧形成一批行业人工智能就绪（AI</w:t>
      </w:r>
      <w:r>
        <w:rPr>
          <w:rFonts w:hint="eastAsia" w:ascii="方正仿宋_GBK" w:hAnsi="方正仿宋_GBK" w:eastAsia="方正仿宋_GBK" w:cs="方正仿宋_GBK"/>
          <w:kern w:val="0"/>
          <w:sz w:val="28"/>
          <w:szCs w:val="28"/>
          <w:highlight w:val="none"/>
          <w:u w:val="none"/>
          <w:lang w:eastAsia="zh-CN"/>
        </w:rPr>
        <w:t>—</w:t>
      </w:r>
      <w:r>
        <w:rPr>
          <w:rFonts w:hint="eastAsia" w:ascii="方正仿宋_GBK" w:hAnsi="方正仿宋_GBK" w:eastAsia="方正仿宋_GBK" w:cs="方正仿宋_GBK"/>
          <w:kern w:val="0"/>
          <w:sz w:val="28"/>
          <w:szCs w:val="28"/>
          <w:highlight w:val="none"/>
          <w:u w:val="none"/>
        </w:rPr>
        <w:t>Ready）高质量数据集。</w:t>
      </w:r>
    </w:p>
    <w:p w14:paraId="69218FDC">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培</w:t>
      </w:r>
      <w:r>
        <w:rPr>
          <w:rFonts w:hint="eastAsia" w:ascii="方正仿宋_GBK" w:hAnsi="方正仿宋_GBK" w:eastAsia="方正仿宋_GBK" w:cs="方正仿宋_GBK"/>
          <w:spacing w:val="-6"/>
          <w:kern w:val="0"/>
          <w:sz w:val="28"/>
          <w:szCs w:val="28"/>
          <w:highlight w:val="none"/>
          <w:u w:val="none"/>
        </w:rPr>
        <w:t>育数据产业生态。实施“数据要素×”行动，建设数据领域概念验证、中试基地、检验检测等平台，完善数据技术产业链条。鼓励企事业单位设立首席数据官，支持企业联合数据商及专业服务机构共同开发面向智能应用的数据产品。完善产业配套体系，培育数据经纪、合规认证、资产评估、风险评估等专业服务机构。</w:t>
      </w:r>
    </w:p>
    <w:p w14:paraId="79C05268">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 xml:space="preserve">专栏6 </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重点领域高质量数据集建设工程</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11B6720E">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113" w:type="dxa"/>
              <w:left w:w="142" w:type="dxa"/>
              <w:bottom w:w="113" w:type="dxa"/>
              <w:right w:w="142" w:type="dxa"/>
            </w:tcMar>
            <w:vAlign w:val="center"/>
          </w:tcPr>
          <w:p w14:paraId="09381B7D">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产业领域。建设新能源汽车动力电池安全测评、智能驾驶算法研发等工业制造高质量数据集。建设低空飞行器运行轨迹、低空空域环境感知等低空经济高质量数据集。建设优质粮油、设施农业、生态畜牧等农业高质量数据集。建设“渝悦信用”“反诈”等金融服务高质量数据集。</w:t>
            </w:r>
          </w:p>
          <w:p w14:paraId="5C9F1626">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超大城市现代化治理领域。建设城市交通智能规划、空间治理等城市治理高质量数据集。建设刑事案件、民事案件等公共安全高质量数据集。建设食品药品安全、特种设备安全等市场监管高质量数据集。建设安全生产、防灾减灾救灾等应急管理高质量数据集。建设气象实况等气象服务高质量数据集。建设能碳管理、新能源全生命周期等绿色低碳高质量数据集。</w:t>
            </w:r>
          </w:p>
          <w:p w14:paraId="21C3BC41">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民生</w:t>
            </w:r>
            <w:r>
              <w:rPr>
                <w:rFonts w:hint="eastAsia" w:ascii="方正仿宋_GBK" w:hAnsi="方正仿宋_GBK" w:eastAsia="方正仿宋_GBK" w:cs="方正仿宋_GBK"/>
                <w:kern w:val="0"/>
                <w:sz w:val="28"/>
                <w:szCs w:val="28"/>
                <w:highlight w:val="none"/>
                <w:u w:val="none"/>
                <w:lang w:eastAsia="zh-CN" w:bidi="ar"/>
              </w:rPr>
              <w:t>保障</w:t>
            </w:r>
            <w:r>
              <w:rPr>
                <w:rFonts w:hint="eastAsia" w:ascii="方正仿宋_GBK" w:hAnsi="方正仿宋_GBK" w:eastAsia="方正仿宋_GBK" w:cs="方正仿宋_GBK"/>
                <w:kern w:val="0"/>
                <w:sz w:val="28"/>
                <w:szCs w:val="28"/>
                <w:highlight w:val="none"/>
                <w:u w:val="none"/>
                <w:lang w:bidi="ar"/>
              </w:rPr>
              <w:t>领域。建设户籍、学籍、医疗、社保、养老、死亡等民生保障高质量数据集。建设免疫规划、病理诊断等医疗健康高质量数据集。建设学生入学服务、中小学教师全生命周期专业发展等教育教学高质量数据集。建设社会保障与劳动关系、岗位需求等人力资源高质量数据集。</w:t>
            </w:r>
          </w:p>
          <w:p w14:paraId="2976F1F1">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文旅消费领域。建设文博多模态、传统表演艺术等文化旅游高质量数据集。建设供应链协同、智慧零售等商贸流通高质量数据集。建设版本版权高质量数据集。</w:t>
            </w:r>
          </w:p>
          <w:p w14:paraId="16B9CB4A">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科学研究领域。建设蛋白质结构与功能、大规模植物病害多模态等科研高质量数据集。</w:t>
            </w:r>
          </w:p>
        </w:tc>
      </w:tr>
    </w:tbl>
    <w:p w14:paraId="5D11B2E3">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专栏7</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 xml:space="preserve"> 重点领域可信数据空间建设工程</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0B81F19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113" w:type="dxa"/>
              <w:left w:w="142" w:type="dxa"/>
              <w:bottom w:w="113" w:type="dxa"/>
              <w:right w:w="142" w:type="dxa"/>
            </w:tcMar>
            <w:vAlign w:val="center"/>
          </w:tcPr>
          <w:p w14:paraId="7BC13542">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城市领域。推动交通出行、应急管理等数据在城市可信数据空间流通，支持公共数据、企业数据依法融合应用。</w:t>
            </w:r>
          </w:p>
          <w:p w14:paraId="5602C4CD">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制造业领域。聚焦智能网联新能源汽车全链条数据融合，建设汽车领域可信数据空间。聚焦芯片设计、晶圆制造等，建设电子信息领域可信数据空间。</w:t>
            </w:r>
          </w:p>
          <w:p w14:paraId="33AA4196">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医疗健康领域。聚焦临床诊疗、电子病历等，建设医疗领域可信数据空间。聚焦医保结算、药品追溯等，建设医保领域可信数据空间。</w:t>
            </w:r>
          </w:p>
          <w:p w14:paraId="560F1DC7">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服务业领域。聚焦公共服务、产业发展等，建设金融领域可信数据空间。聚焦口岸、通道等，建设物流领域可信数据空间。</w:t>
            </w:r>
          </w:p>
          <w:p w14:paraId="3F9C8B52">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文旅领域。聚焦文博资源、景区运营、重庆文化创意产业等，建设文旅领域可信数据空间。</w:t>
            </w:r>
          </w:p>
          <w:p w14:paraId="6977CE78">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人力资源领域。聚焦劳动保障、就业监测等，建设人力资源领域可信数据空间。</w:t>
            </w:r>
          </w:p>
          <w:p w14:paraId="092F6825">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4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低空经济领域。聚焦低空飞行器运行轨迹、低空空域环境感知等，建设低空经济领域可信数据空间。</w:t>
            </w:r>
          </w:p>
        </w:tc>
      </w:tr>
    </w:tbl>
    <w:p w14:paraId="1AE57030">
      <w:pPr>
        <w:keepNext w:val="0"/>
        <w:keepLines w:val="0"/>
        <w:pageBreakBefore w:val="0"/>
        <w:widowControl w:val="0"/>
        <w:kinsoku/>
        <w:wordWrap/>
        <w:overflowPunct/>
        <w:topLinePunct w:val="0"/>
        <w:autoSpaceDE/>
        <w:autoSpaceDN/>
        <w:bidi w:val="0"/>
        <w:adjustRightInd w:val="0"/>
        <w:snapToGrid/>
        <w:spacing w:before="118" w:beforeLines="2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8" w:name="_Toc26507"/>
      <w:r>
        <w:rPr>
          <w:rFonts w:hint="eastAsia" w:ascii="方正仿宋_GBK" w:hAnsi="方正仿宋_GBK" w:eastAsia="方正仿宋_GBK" w:cs="方正仿宋_GBK"/>
          <w:kern w:val="0"/>
          <w:sz w:val="28"/>
          <w:szCs w:val="28"/>
          <w:highlight w:val="none"/>
          <w:u w:val="none"/>
        </w:rPr>
        <w:t>（三）强化模型算法体系建设</w:t>
      </w:r>
      <w:bookmarkEnd w:id="8"/>
    </w:p>
    <w:p w14:paraId="388219D7">
      <w:pPr>
        <w:keepNext w:val="0"/>
        <w:keepLines w:val="0"/>
        <w:pageBreakBefore w:val="0"/>
        <w:widowControl w:val="0"/>
        <w:numPr>
          <w:ilvl w:val="0"/>
          <w:numId w:val="0"/>
        </w:numPr>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构建协同模型谱系。统一部署多模态通用大模型，强化模型感知、视觉、决策一体化建设，支持企事业单位使用模型。突破垂类大模型高效适配与轻量化部署技术，打造一批特色领域垂类大模型。建设大小模型协同开发平台，提供模型裁剪、量化、蒸馏等工具链，支持大模型能力向轻量化小模型迁移。推动终端设备轻量化部署端侧模型，构建“云侧复杂推理+边侧弹性调度+端侧实时响应”的协同架构。</w:t>
      </w:r>
    </w:p>
    <w:p w14:paraId="6B80213C">
      <w:pPr>
        <w:keepNext w:val="0"/>
        <w:keepLines w:val="0"/>
        <w:pageBreakBefore w:val="0"/>
        <w:widowControl w:val="0"/>
        <w:numPr>
          <w:ilvl w:val="0"/>
          <w:numId w:val="0"/>
        </w:numPr>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构建模型能力评测体系。对接国家标准，在通用能力评测基础上增设行业应用场景专项评测指标，制定特色垂类大模型评测规范，形成“基础能力+行业适配+场景验证”的多层次评测框架。打造运营大模型、智能体的测试验证平台，提升模型能力评测、性能验证能力。推动模型能力分级认证，引导模型研发主体以评促建、以评促优。</w:t>
      </w:r>
    </w:p>
    <w:p w14:paraId="133A74C8">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 xml:space="preserve">专栏8 </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重点领域垂类大模型建设工程</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35AEA6F2">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113" w:type="dxa"/>
              <w:left w:w="142" w:type="dxa"/>
              <w:bottom w:w="113" w:type="dxa"/>
              <w:right w:w="142" w:type="dxa"/>
            </w:tcMar>
            <w:vAlign w:val="center"/>
          </w:tcPr>
          <w:p w14:paraId="6A82E707">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超大城市现代化治理领域。构建数据驱动、场景驱动、人工智能赋能的超大城市发展服务安全治理全新生态。</w:t>
            </w:r>
          </w:p>
          <w:p w14:paraId="0B14DE86">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智能网联新能源汽车领域。开展多模态感知与大模型决策控制技术融合研发，部署车端环境感知、行为决策与运动控制一体化模型，赋能汽车从出行工具向移动智能空间转型。</w:t>
            </w:r>
          </w:p>
          <w:p w14:paraId="20CF42DF">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新一代电子信息制造业领域。开展生成式人工智能与数字孪生技术融合研发，部署产线动态重构、工艺参数优化模型。</w:t>
            </w:r>
          </w:p>
          <w:p w14:paraId="5F8AC35D">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先进材料领域。加快打造轻合金、纤维及复合材料、合成材料等新材料研发预测、分子设计、合成制备等垂类大模型。</w:t>
            </w:r>
          </w:p>
          <w:p w14:paraId="66A2B27F">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智能装备及制造领域。加快打造工业视觉与多模态大模型，赋能工业机器人、智能农机、高端传动等装备研发设计、预测性维护等环节。</w:t>
            </w:r>
          </w:p>
          <w:p w14:paraId="266FD44C">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消费金融领域。</w:t>
            </w:r>
            <w:r>
              <w:rPr>
                <w:rFonts w:hint="eastAsia" w:ascii="方正仿宋_GBK" w:hAnsi="方正仿宋_GBK" w:eastAsia="方正仿宋_GBK" w:cs="方正仿宋_GBK"/>
                <w:spacing w:val="7"/>
                <w:kern w:val="0"/>
                <w:sz w:val="28"/>
                <w:szCs w:val="28"/>
                <w:highlight w:val="none"/>
                <w:u w:val="none"/>
                <w:lang w:bidi="ar"/>
              </w:rPr>
              <w:t>加强信贷服务、交互式风控、金融反欺诈等垂类大模型研发应用。</w:t>
            </w:r>
          </w:p>
          <w:p w14:paraId="406E1516">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低空经济领域。推进人工智能在环境感知、航线规划、精准避障等方面的深度应用，构建智慧低空一体化治理体系。</w:t>
            </w:r>
          </w:p>
          <w:p w14:paraId="39D72D90">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人力资源领域。加强人力资源全生命周期服务，打造涵盖人力资源培养、评价、流动、利用等全场景的垂类大模型。</w:t>
            </w:r>
          </w:p>
        </w:tc>
      </w:tr>
    </w:tbl>
    <w:p w14:paraId="4B95E11D">
      <w:pPr>
        <w:keepNext w:val="0"/>
        <w:keepLines w:val="0"/>
        <w:pageBreakBefore w:val="0"/>
        <w:widowControl w:val="0"/>
        <w:kinsoku/>
        <w:wordWrap/>
        <w:overflowPunct/>
        <w:topLinePunct w:val="0"/>
        <w:autoSpaceDE/>
        <w:autoSpaceDN/>
        <w:bidi w:val="0"/>
        <w:adjustRightInd w:val="0"/>
        <w:snapToGrid/>
        <w:spacing w:before="118" w:beforeLines="2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9" w:name="_Toc6376"/>
      <w:r>
        <w:rPr>
          <w:rFonts w:hint="eastAsia" w:ascii="方正仿宋_GBK" w:hAnsi="方正仿宋_GBK" w:eastAsia="方正仿宋_GBK" w:cs="方正仿宋_GBK"/>
          <w:kern w:val="0"/>
          <w:sz w:val="28"/>
          <w:szCs w:val="28"/>
          <w:highlight w:val="none"/>
          <w:u w:val="none"/>
        </w:rPr>
        <w:t>（四）加快智能体内生进化</w:t>
      </w:r>
      <w:bookmarkEnd w:id="9"/>
    </w:p>
    <w:p w14:paraId="3D723CCB">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spacing w:val="0"/>
          <w:kern w:val="0"/>
          <w:sz w:val="28"/>
          <w:szCs w:val="28"/>
          <w:highlight w:val="none"/>
          <w:u w:val="none"/>
          <w:lang w:bidi="ar"/>
        </w:rPr>
      </w:pPr>
      <w:r>
        <w:rPr>
          <w:rFonts w:hint="eastAsia" w:ascii="方正仿宋_GBK" w:hAnsi="方正仿宋_GBK" w:eastAsia="方正仿宋_GBK" w:cs="方正仿宋_GBK"/>
          <w:spacing w:val="0"/>
          <w:kern w:val="0"/>
          <w:sz w:val="28"/>
          <w:szCs w:val="28"/>
          <w:highlight w:val="none"/>
          <w:u w:val="none"/>
          <w:lang w:bidi="ar"/>
        </w:rPr>
        <w:t>建强智能体能力矩阵。依托国产开源智能体框架，研发适配特定场景的轻量化框架。鼓励企业打造可复用可信知识库，提炼共性知识模块与跨场景复用框架，驱动知识资产有机持续生长。建立智能体组件、技能市场，鼓励完善智能体全生命周期开发工具、通用组件及技能模块。制定智能体技能评估标准，推动专家经验转化为可复用技能模块，开展技能评测与等级认证，加快构建“技能沙盒”，实现智能体在安全环境中试错迭代。建立智能体统一接口，引导经营主体联合制定智能体互操作接口规范。</w:t>
      </w:r>
    </w:p>
    <w:p w14:paraId="7C534670">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spacing w:val="0"/>
          <w:kern w:val="0"/>
          <w:sz w:val="28"/>
          <w:szCs w:val="28"/>
          <w:highlight w:val="none"/>
          <w:u w:val="none"/>
          <w:lang w:bidi="ar"/>
        </w:rPr>
        <w:t>构建智能体协同体系。鼓励打造一批具备持续学习、自主进化</w:t>
      </w:r>
      <w:r>
        <w:rPr>
          <w:rFonts w:hint="eastAsia" w:ascii="方正仿宋_GBK" w:hAnsi="方正仿宋_GBK" w:eastAsia="方正仿宋_GBK" w:cs="方正仿宋_GBK"/>
          <w:spacing w:val="0"/>
          <w:kern w:val="0"/>
          <w:sz w:val="28"/>
          <w:szCs w:val="28"/>
          <w:highlight w:val="none"/>
          <w:u w:val="none"/>
          <w:lang w:eastAsia="zh-CN" w:bidi="ar"/>
        </w:rPr>
        <w:t>能力</w:t>
      </w:r>
      <w:r>
        <w:rPr>
          <w:rFonts w:hint="eastAsia" w:ascii="方正仿宋_GBK" w:hAnsi="方正仿宋_GBK" w:eastAsia="方正仿宋_GBK" w:cs="方正仿宋_GBK"/>
          <w:spacing w:val="0"/>
          <w:kern w:val="0"/>
          <w:sz w:val="28"/>
          <w:szCs w:val="28"/>
          <w:highlight w:val="none"/>
          <w:u w:val="none"/>
          <w:lang w:bidi="ar"/>
        </w:rPr>
        <w:t>的智能体。打造“大模型+小场景”的矩阵应用，形成“模型—智能体—场景”技术体系。构建多脑协同、一脑多体、</w:t>
      </w:r>
      <w:r>
        <w:rPr>
          <w:rFonts w:hint="eastAsia" w:ascii="方正仿宋_GBK" w:hAnsi="方正仿宋_GBK" w:eastAsia="方正仿宋_GBK" w:cs="方正仿宋_GBK"/>
          <w:spacing w:val="3"/>
          <w:kern w:val="0"/>
          <w:sz w:val="28"/>
          <w:szCs w:val="28"/>
          <w:highlight w:val="none"/>
          <w:u w:val="none"/>
          <w:lang w:bidi="ar"/>
        </w:rPr>
        <w:t>多体协作等模式，推动智能体从单一任务执行向多智能体动态分工、跨域协同演进。研究建立智能互联网体系架构，支持开发者、部署方式、接口协议、合规认证等信息查询和管理，发挥互联网协议第六版（IPv6）技术优势，提升智能体端到端通信能力。</w:t>
      </w:r>
    </w:p>
    <w:p w14:paraId="1BFE7FB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bookmarkStart w:id="10" w:name="_Toc6753"/>
      <w:r>
        <w:rPr>
          <w:rFonts w:hint="eastAsia" w:ascii="方正仿宋_GBK" w:hAnsi="方正仿宋_GBK" w:eastAsia="方正仿宋_GBK" w:cs="方正仿宋_GBK"/>
          <w:kern w:val="0"/>
          <w:sz w:val="28"/>
          <w:szCs w:val="28"/>
          <w:highlight w:val="none"/>
          <w:u w:val="none"/>
          <w:lang w:bidi="ar"/>
        </w:rPr>
        <w:t>四、构建人工智能应用场景体系</w:t>
      </w:r>
      <w:bookmarkEnd w:id="10"/>
    </w:p>
    <w:p w14:paraId="0DE1CA18">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11" w:name="_Toc11447"/>
      <w:r>
        <w:rPr>
          <w:rFonts w:hint="eastAsia" w:ascii="方正仿宋_GBK" w:hAnsi="方正仿宋_GBK" w:eastAsia="方正仿宋_GBK" w:cs="方正仿宋_GBK"/>
          <w:kern w:val="0"/>
          <w:sz w:val="28"/>
          <w:szCs w:val="28"/>
          <w:highlight w:val="none"/>
          <w:u w:val="none"/>
        </w:rPr>
        <w:t>（一）推动人工智能赋能现代化产业体系</w:t>
      </w:r>
      <w:bookmarkEnd w:id="11"/>
    </w:p>
    <w:p w14:paraId="7200AA67">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先进制造业。推动大模型、智能体深度嵌入制造业全流程，推动智能原生制造模式创新，支持建设多智能体协同的新型生产体系。迭代升级“产业大脑+未来工厂”新模式，强化“四侧”协同，推动“四链”融合。支持企业打造未来工厂，推动未来工厂与产业大脑耦合共生，加快产业模式和企业组织形态变革。实施“人工智能+制造”行动，构建“数字化车间—智能工厂—未来工厂”梯度培育体系，打造数字化转型促进中心。</w:t>
      </w:r>
    </w:p>
    <w:p w14:paraId="525DA36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现代农业。构建“产业大脑+未来农场”发展新模式。部署由卫星遥感、无人机巡检、地面物联网感知组成的空天地一体化智慧监测网络，构建环境智能感应系统，推进老旧设施棚室数智化改造。推广农用无人机、多功能农业机器人等智能农机装备，推进丘陵山区适用农机装备研发应用。构建数智育种模式，加速数智化基因测序与表型鉴定，培育一批具备抗逆性强、广适性好、高产优质特性的突破性新品种。</w:t>
      </w:r>
    </w:p>
    <w:p w14:paraId="3F20C8BA">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现代服务业。探索“产业大脑+金融”融合创新模式，推进跨境结算场景下反欺诈、信用评估等垂类大模型研发与应用。支持开发以大模型为核心架构的新型软件产品，推动软件企业从功能驱动向智能驱动转型。实施“产业集群+物流枢纽”融合发展工程，打造大宗、跨境、冷链、航空、应急等智能应用场景。依托国家人工智能应用中试基地（人力资源服务方向），构建智能招聘、人力资源服务行业智管、猎头助手等智能场景，孵化系统级解决方案，推动制定行业人工智能应用标准，重塑人力资源产业生态。推动人工智能在设计过程优化、数据驱动设计、智能辅助设计等领域深度应用，鼓励商务服务机构与企业合作搭建专业知识库。</w:t>
      </w:r>
    </w:p>
    <w:p w14:paraId="473E8CF2">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未来产业。迭代建设国土空间数据智能时空底座，形成高精度、高时效、强关联的数字化空间数据底板，推广通导遥一体化时空智能大众化服务。加速人工智能赋能创新药研发、生物材料设计、智能新材料研发等，建设人工智能生物研发平台，加速生物制造产业化、规模化落地。围绕神经机制解析、脑疾病诊疗、类脑智能算法等领域，加速人工智能赋能解码脑信号、过滤噪声、解读用户意图、控制外部设备等，提升脑信号解析精度及意图推断能力。</w:t>
      </w:r>
    </w:p>
    <w:p w14:paraId="0821790A">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 xml:space="preserve">专栏9 </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“人工智能+”现代化产业体系高价值应用场景</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469E60EB">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113" w:type="dxa"/>
              <w:left w:w="142" w:type="dxa"/>
              <w:bottom w:w="170" w:type="dxa"/>
              <w:right w:w="142" w:type="dxa"/>
            </w:tcMar>
            <w:vAlign w:val="center"/>
          </w:tcPr>
          <w:p w14:paraId="55DC78A9">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8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“人工智能+”先进制造业。打造工业设计辅助、零配件视觉质检等智能应用场景</w:t>
            </w:r>
            <w:r>
              <w:rPr>
                <w:rFonts w:hint="eastAsia" w:ascii="方正仿宋_GBK" w:hAnsi="方正仿宋_GBK" w:eastAsia="方正仿宋_GBK" w:cs="方正仿宋_GBK"/>
                <w:kern w:val="0"/>
                <w:sz w:val="28"/>
                <w:szCs w:val="28"/>
                <w:highlight w:val="none"/>
                <w:u w:val="none"/>
                <w:lang w:eastAsia="zh-CN" w:bidi="ar"/>
              </w:rPr>
              <w:t>，</w:t>
            </w:r>
            <w:r>
              <w:rPr>
                <w:rFonts w:hint="eastAsia" w:ascii="方正仿宋_GBK" w:hAnsi="方正仿宋_GBK" w:eastAsia="方正仿宋_GBK" w:cs="方正仿宋_GBK"/>
                <w:kern w:val="0"/>
                <w:sz w:val="28"/>
                <w:szCs w:val="28"/>
                <w:highlight w:val="none"/>
                <w:u w:val="none"/>
                <w:lang w:bidi="ar"/>
              </w:rPr>
              <w:t>建设50</w:t>
            </w:r>
            <w:r>
              <w:rPr>
                <w:rFonts w:hint="eastAsia" w:ascii="方正仿宋_GBK" w:hAnsi="方正仿宋_GBK" w:eastAsia="方正仿宋_GBK" w:cs="方正仿宋_GBK"/>
                <w:kern w:val="0"/>
                <w:sz w:val="28"/>
                <w:szCs w:val="28"/>
                <w:highlight w:val="none"/>
                <w:u w:val="none"/>
                <w:lang w:eastAsia="zh-CN" w:bidi="ar"/>
              </w:rPr>
              <w:t>个</w:t>
            </w:r>
            <w:r>
              <w:rPr>
                <w:rFonts w:hint="eastAsia" w:ascii="方正仿宋_GBK" w:hAnsi="方正仿宋_GBK" w:eastAsia="方正仿宋_GBK" w:cs="方正仿宋_GBK"/>
                <w:kern w:val="0"/>
                <w:sz w:val="28"/>
                <w:szCs w:val="28"/>
                <w:highlight w:val="none"/>
                <w:u w:val="none"/>
                <w:lang w:bidi="ar"/>
              </w:rPr>
              <w:t>“人工智能+”未来工厂。</w:t>
            </w:r>
          </w:p>
          <w:p w14:paraId="24D42DC2">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8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“人工智能+”现代农业。打造品种选育、生产管理等智能应用场景，建设5个“人工智能+”未来农场。</w:t>
            </w:r>
          </w:p>
          <w:p w14:paraId="0E9164B7">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8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“人工智能+”现代服务业。推动智能数字治理、智能模拟仿真等智能场景落地，发展各具特色的“人工智能+”人力资源服务产业集群，培育一批“人工智能+”生产性服务业集聚区。</w:t>
            </w:r>
          </w:p>
          <w:p w14:paraId="0B09A5BB">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84"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“人工智能+”未来产业。推动人工智能深度赋能生物制造、前沿新材料、脑机接口及脑科学等，培育一批</w:t>
            </w:r>
            <w:r>
              <w:rPr>
                <w:rFonts w:hint="eastAsia" w:ascii="方正仿宋_GBK" w:hAnsi="方正仿宋_GBK" w:eastAsia="方正仿宋_GBK" w:cs="方正仿宋_GBK"/>
                <w:kern w:val="0"/>
                <w:sz w:val="28"/>
                <w:szCs w:val="28"/>
                <w:highlight w:val="none"/>
                <w:u w:val="none"/>
                <w:lang w:eastAsia="zh-CN" w:bidi="ar"/>
              </w:rPr>
              <w:t>“</w:t>
            </w:r>
            <w:r>
              <w:rPr>
                <w:rFonts w:hint="eastAsia" w:ascii="方正仿宋_GBK" w:hAnsi="方正仿宋_GBK" w:eastAsia="方正仿宋_GBK" w:cs="方正仿宋_GBK"/>
                <w:kern w:val="0"/>
                <w:sz w:val="28"/>
                <w:szCs w:val="28"/>
                <w:highlight w:val="none"/>
                <w:u w:val="none"/>
                <w:lang w:bidi="ar"/>
              </w:rPr>
              <w:t>人工智能</w:t>
            </w:r>
            <w:r>
              <w:rPr>
                <w:rFonts w:hint="eastAsia" w:ascii="方正仿宋_GBK" w:hAnsi="方正仿宋_GBK" w:eastAsia="方正仿宋_GBK" w:cs="方正仿宋_GBK"/>
                <w:kern w:val="0"/>
                <w:sz w:val="28"/>
                <w:szCs w:val="28"/>
                <w:highlight w:val="none"/>
                <w:u w:val="none"/>
                <w:lang w:val="en-US" w:eastAsia="zh-CN" w:bidi="ar"/>
              </w:rPr>
              <w:t>+”</w:t>
            </w:r>
            <w:r>
              <w:rPr>
                <w:rFonts w:hint="eastAsia" w:ascii="方正仿宋_GBK" w:hAnsi="方正仿宋_GBK" w:eastAsia="方正仿宋_GBK" w:cs="方正仿宋_GBK"/>
                <w:kern w:val="0"/>
                <w:sz w:val="28"/>
                <w:szCs w:val="28"/>
                <w:highlight w:val="none"/>
                <w:u w:val="none"/>
                <w:lang w:bidi="ar"/>
              </w:rPr>
              <w:t>未来产业先导区。</w:t>
            </w:r>
          </w:p>
        </w:tc>
      </w:tr>
    </w:tbl>
    <w:p w14:paraId="3926D324">
      <w:pPr>
        <w:keepNext w:val="0"/>
        <w:keepLines w:val="0"/>
        <w:pageBreakBefore w:val="0"/>
        <w:widowControl w:val="0"/>
        <w:kinsoku/>
        <w:wordWrap/>
        <w:overflowPunct/>
        <w:topLinePunct w:val="0"/>
        <w:autoSpaceDE/>
        <w:autoSpaceDN/>
        <w:bidi w:val="0"/>
        <w:adjustRightInd w:val="0"/>
        <w:snapToGrid/>
        <w:spacing w:before="118" w:beforeLines="2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12" w:name="_Toc27422"/>
      <w:r>
        <w:rPr>
          <w:rFonts w:hint="eastAsia" w:ascii="方正仿宋_GBK" w:hAnsi="方正仿宋_GBK" w:eastAsia="方正仿宋_GBK" w:cs="方正仿宋_GBK"/>
          <w:kern w:val="0"/>
          <w:sz w:val="28"/>
          <w:szCs w:val="28"/>
          <w:highlight w:val="none"/>
          <w:u w:val="none"/>
        </w:rPr>
        <w:t>（二）推动人工智能赋能超大城市现代化治理</w:t>
      </w:r>
      <w:bookmarkEnd w:id="12"/>
    </w:p>
    <w:p w14:paraId="3AE974AF">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城市规划。推动人工智能与地理信息系统深度融合，强化人工智能与数字孪生技术在智能规划场景中的融合应用，迭代国土空间数据综合信息系统，加快自然空间、人造空间向数字空间全量孪生。面向国土空间规划智能应用场景，开发通用分析模型与服务组件，以空间智能赋能跨部门协同与模拟推演，支撑“多规合一”和国土空间用途管制智能决策。开展国土空间体征变化、安全底线等智能监测评估。</w:t>
      </w:r>
    </w:p>
    <w:p w14:paraId="58F419A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城市建设。推动“人工智能+建筑信息模型”融合赋能建筑全生命周期管理，实施“工程智管”，探索构建无人机巡检、“机器人集群+数字孪生指挥平台”智慧施工体系。推进数字家庭、智慧建筑建设，开展公共设施智能化改造，探索建筑物联感知、服务机器人等技术集成应用。推动“人工智能+建造”新技术规模化应用，实施智能建造试点项目。</w:t>
      </w:r>
    </w:p>
    <w:p w14:paraId="114AE694">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城市管理。聚焦“大城市病”，构建“人工智能+巡督治评”全过程处置体系，赋能“大综合一体化”城市治理。深化人工智能赋能城市运行维护，有序推动市政基础设施智能化改造升级，探索构建隧道机器人、无人清扫车等智能机器人矩阵。推动人工智能赋能城市供节水、生活垃圾、园林绿化等全生命周期管理。提高颗粒物污染来源识别、高贡献污染源筛选等数智化能力，构建重点工业园区空气质量实时监测与预警系统。建设长江、嘉陵江流域水环境智能管理平台，融合卫星遥感、水质监测和无人机巡查数据，开发水质预测预警与分析大模型。构建工业固体废物全链条协同智能化监管体系，建设“巴渝治废”智慧管理平台。面向城市绿地、公园、森林等生态空间，构建人工智能驱动的生态环境空天地一体化监测网络。</w:t>
      </w:r>
    </w:p>
    <w:p w14:paraId="6B66D71B">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交通运输。赋能道路交通智能感知监测，利用人工智能算法自动识别城市交通拥堵、事故、路网等运行态势，深化城市交通缓堵促畅智治。构建智能化交通疏导管控体系，在高风险路段设置智能监控和预警系统。提升静态交通资源精细化治理能力，加快停车设施智能化改造和建设，优化重点区域停车指引等智能化服务。强化重点营运车辆动态安全智能监管，全天候追踪预警“两客一危”重点车辆安全管控。</w:t>
      </w:r>
    </w:p>
    <w:p w14:paraId="2FF3608E">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“人工智能+”安全治理。打造智能化风险评估模型，建立城市安全风险定期普查和动态风险研判管控机制，建设</w:t>
      </w:r>
      <w:r>
        <w:rPr>
          <w:rFonts w:hint="eastAsia" w:ascii="方正仿宋_GBK" w:hAnsi="方正仿宋_GBK" w:eastAsia="方正仿宋_GBK" w:cs="方正仿宋_GBK"/>
          <w:kern w:val="0"/>
          <w:sz w:val="28"/>
          <w:szCs w:val="28"/>
          <w:highlight w:val="none"/>
          <w:u w:val="none"/>
          <w:lang w:val="en-US" w:eastAsia="zh-CN"/>
        </w:rPr>
        <w:t>水旱灾害</w:t>
      </w:r>
      <w:r>
        <w:rPr>
          <w:rFonts w:hint="eastAsia" w:ascii="方正仿宋_GBK" w:hAnsi="方正仿宋_GBK" w:eastAsia="方正仿宋_GBK" w:cs="方正仿宋_GBK"/>
          <w:kern w:val="0"/>
          <w:sz w:val="28"/>
          <w:szCs w:val="28"/>
          <w:highlight w:val="none"/>
          <w:u w:val="none"/>
        </w:rPr>
        <w:t>、地质灾害、森林火灾等灾害模拟推演系统，推动防灾减灾救灾基础设施数智化升级。打造生命线工程智能风险评估模型和仿真系统，提升城市管网、城市桥隧、市政设施、地下设施、交通、电力等系统的感知、模拟、预警和应急响应能力。开发网络风险预警智能体，形成重大网络安全风险、不良有害信息智能识别和预警能力。构建社会风险监测预警处置智控体系，推动镇街职能体系与基层智治体系深度融合。打造执法办案和监督管理智能助手，构建社会治安态势感知平台，建设“全域感知—智能分析—联动处置—持续优化”的智能化检测预警中枢，提升社会公共安全防控与治理能力。</w:t>
      </w:r>
    </w:p>
    <w:p w14:paraId="4AE5655B">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 xml:space="preserve">专栏10 </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“人工智能+”超大城市现代化治理高价值应用场景</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31C409E4">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113" w:type="dxa"/>
              <w:left w:w="142" w:type="dxa"/>
              <w:bottom w:w="142" w:type="dxa"/>
              <w:right w:w="142" w:type="dxa"/>
            </w:tcMar>
            <w:vAlign w:val="center"/>
          </w:tcPr>
          <w:p w14:paraId="15149521">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76"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“人工智能+”城市规划。打造城市规建运治一体化、多规合一协同智治、空间体征变化监测、资源智慧识别、用地需求匹配、地上地下空间协同治理等应用场景。</w:t>
            </w:r>
          </w:p>
          <w:p w14:paraId="1EC50332">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76"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“人工智能+”城市建设。打造数字管线综合智管、无人建造、工程质量安全保障、防涝分析、地下管线超期服役预警等应用场景。</w:t>
            </w:r>
          </w:p>
          <w:p w14:paraId="262A8777">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76"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城市管理。打造巡督治评一体化、毗邻交叉区协同治理、污染防治攻坚战智管、自然资源综合智治、低空智能综合巡查、市政设施智慧管理、园林管养智能评估、智慧停车、燃气安全即时感知等应用场景。</w:t>
            </w:r>
          </w:p>
          <w:p w14:paraId="73B4DA5D">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76"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“人工智能+”交通运输。打造城市交通缓堵促畅智治、智慧客运枢纽、道路交通智管、智能化交通引导与分流、静态交通资源管理、重点营运车辆动态监测等应用场景。</w:t>
            </w:r>
          </w:p>
          <w:p w14:paraId="57095982">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76"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“人工智能+”安全治理。防灾救灾减灾方面，打造天空地全域立体智慧协同监测、多源预报动态融合无缝隙数智预报、灾情态势智能分析等应用场景。平安稳定方面，</w:t>
            </w:r>
            <w:r>
              <w:rPr>
                <w:rFonts w:hint="eastAsia" w:ascii="方正仿宋_GBK" w:hAnsi="方正仿宋_GBK" w:eastAsia="方正仿宋_GBK" w:cs="方正仿宋_GBK"/>
                <w:kern w:val="0"/>
                <w:sz w:val="28"/>
                <w:szCs w:val="28"/>
                <w:highlight w:val="none"/>
                <w:u w:val="none"/>
                <w:lang w:eastAsia="zh-CN" w:bidi="ar"/>
              </w:rPr>
              <w:t>打造</w:t>
            </w:r>
            <w:r>
              <w:rPr>
                <w:rFonts w:hint="eastAsia" w:ascii="方正仿宋_GBK" w:hAnsi="方正仿宋_GBK" w:eastAsia="方正仿宋_GBK" w:cs="方正仿宋_GBK"/>
                <w:kern w:val="0"/>
                <w:sz w:val="28"/>
                <w:szCs w:val="28"/>
                <w:highlight w:val="none"/>
                <w:u w:val="none"/>
                <w:lang w:bidi="ar"/>
              </w:rPr>
              <w:t>政法一体化办案、平安重庆风险闭环管控、“一站式”智慧信访、社会矛盾纠纷多元化解、重点人员风险分析、异常事件自动巡查、证据智能检测、执法办案问答交互、执法办案监督管理等应用场景。应急管理方面，</w:t>
            </w:r>
            <w:r>
              <w:rPr>
                <w:rFonts w:hint="eastAsia" w:ascii="方正仿宋_GBK" w:hAnsi="方正仿宋_GBK" w:eastAsia="方正仿宋_GBK" w:cs="方正仿宋_GBK"/>
                <w:kern w:val="0"/>
                <w:sz w:val="28"/>
                <w:szCs w:val="28"/>
                <w:highlight w:val="none"/>
                <w:u w:val="none"/>
                <w:lang w:eastAsia="zh-CN" w:bidi="ar"/>
              </w:rPr>
              <w:t>打造</w:t>
            </w:r>
            <w:r>
              <w:rPr>
                <w:rFonts w:hint="eastAsia" w:ascii="方正仿宋_GBK" w:hAnsi="方正仿宋_GBK" w:eastAsia="方正仿宋_GBK" w:cs="方正仿宋_GBK"/>
                <w:kern w:val="0"/>
                <w:sz w:val="28"/>
                <w:szCs w:val="28"/>
                <w:highlight w:val="none"/>
                <w:u w:val="none"/>
                <w:lang w:bidi="ar"/>
              </w:rPr>
              <w:t>数字应急综合智慧大脑、应急资源智能调度、危化品全链条安全智管等应用场景。</w:t>
            </w:r>
          </w:p>
        </w:tc>
      </w:tr>
    </w:tbl>
    <w:p w14:paraId="6453C5BC">
      <w:pPr>
        <w:keepNext w:val="0"/>
        <w:keepLines w:val="0"/>
        <w:pageBreakBefore w:val="0"/>
        <w:widowControl w:val="0"/>
        <w:kinsoku/>
        <w:wordWrap/>
        <w:overflowPunct/>
        <w:topLinePunct w:val="0"/>
        <w:autoSpaceDE/>
        <w:autoSpaceDN/>
        <w:bidi w:val="0"/>
        <w:adjustRightInd w:val="0"/>
        <w:snapToGrid/>
        <w:spacing w:before="118" w:beforeLines="2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13" w:name="_Toc25251"/>
      <w:r>
        <w:rPr>
          <w:rFonts w:hint="eastAsia" w:ascii="方正仿宋_GBK" w:hAnsi="方正仿宋_GBK" w:eastAsia="方正仿宋_GBK" w:cs="方正仿宋_GBK"/>
          <w:kern w:val="0"/>
          <w:sz w:val="28"/>
          <w:szCs w:val="28"/>
          <w:highlight w:val="none"/>
          <w:u w:val="none"/>
        </w:rPr>
        <w:t>（三）推动人工智能赋能民生福祉</w:t>
      </w:r>
      <w:bookmarkEnd w:id="13"/>
    </w:p>
    <w:p w14:paraId="5476F5E2">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就业社保。挖掘数据工程、智能服务等人工智能新型就业岗位，强化贷款、补贴、场地支持等政策配套。加强人工智能职业技能培训，打造欠薪治理等智能应用，开发失业风险智能预测预警平台，构建</w:t>
      </w:r>
      <w:r>
        <w:rPr>
          <w:rFonts w:hint="eastAsia" w:ascii="方正仿宋_GBK" w:hAnsi="方正仿宋_GBK" w:eastAsia="方正仿宋_GBK" w:cs="方正仿宋_GBK"/>
          <w:kern w:val="0"/>
          <w:sz w:val="28"/>
          <w:szCs w:val="28"/>
          <w:highlight w:val="none"/>
          <w:u w:val="none"/>
          <w:lang w:eastAsia="zh-CN"/>
        </w:rPr>
        <w:t>“</w:t>
      </w:r>
      <w:r>
        <w:rPr>
          <w:rFonts w:hint="eastAsia" w:ascii="方正仿宋_GBK" w:hAnsi="方正仿宋_GBK" w:eastAsia="方正仿宋_GBK" w:cs="方正仿宋_GBK"/>
          <w:kern w:val="0"/>
          <w:sz w:val="28"/>
          <w:szCs w:val="28"/>
          <w:highlight w:val="none"/>
          <w:u w:val="none"/>
        </w:rPr>
        <w:t>监测—预警—干预</w:t>
      </w:r>
      <w:r>
        <w:rPr>
          <w:rFonts w:hint="eastAsia" w:ascii="方正仿宋_GBK" w:hAnsi="方正仿宋_GBK" w:eastAsia="方正仿宋_GBK" w:cs="方正仿宋_GBK"/>
          <w:kern w:val="0"/>
          <w:sz w:val="28"/>
          <w:szCs w:val="28"/>
          <w:highlight w:val="none"/>
          <w:u w:val="none"/>
          <w:lang w:eastAsia="zh-CN"/>
        </w:rPr>
        <w:t>”</w:t>
      </w:r>
      <w:r>
        <w:rPr>
          <w:rFonts w:hint="eastAsia" w:ascii="方正仿宋_GBK" w:hAnsi="方正仿宋_GBK" w:eastAsia="方正仿宋_GBK" w:cs="方正仿宋_GBK"/>
          <w:kern w:val="0"/>
          <w:sz w:val="28"/>
          <w:szCs w:val="28"/>
          <w:highlight w:val="none"/>
          <w:u w:val="none"/>
        </w:rPr>
        <w:t>保障体系。探索社会保险无感智办，打造待遇资格静默认证、社保关系无缝智转等智能应用，协同</w:t>
      </w:r>
      <w:r>
        <w:rPr>
          <w:rFonts w:hint="eastAsia" w:ascii="方正仿宋_GBK" w:hAnsi="方正仿宋_GBK" w:eastAsia="方正仿宋_GBK" w:cs="方正仿宋_GBK"/>
          <w:kern w:val="0"/>
          <w:sz w:val="28"/>
          <w:szCs w:val="28"/>
          <w:highlight w:val="none"/>
          <w:u w:val="none"/>
          <w:lang w:val="en-US" w:eastAsia="zh-CN"/>
        </w:rPr>
        <w:t>构</w:t>
      </w:r>
      <w:r>
        <w:rPr>
          <w:rFonts w:hint="eastAsia" w:ascii="方正仿宋_GBK" w:hAnsi="方正仿宋_GBK" w:eastAsia="方正仿宋_GBK" w:cs="方正仿宋_GBK"/>
          <w:kern w:val="0"/>
          <w:sz w:val="28"/>
          <w:szCs w:val="28"/>
          <w:highlight w:val="none"/>
          <w:u w:val="none"/>
        </w:rPr>
        <w:t>建“智导、智办、智审、智控、智管”的智慧社保格局。</w:t>
      </w:r>
    </w:p>
    <w:p w14:paraId="6300CA99">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教育教学。全面深化国家智慧教育平台应用试点，建设市域智慧教育平台体系，推动教学资源、应用和服务集成创新。构建虚实融合、泛在智能的新型教学场域，打造一批未来课堂、未来学校、未来学习中心和未来实训中心。完善“市—区县—学校”三级教育智治体系。构建人工智能通识课程体系，鼓励校企合作共建特色实践课程，支持组建“人工智能+教育”教研共同体。鼓励学校加强教学设施、校园公共设施数智化升级改造。</w:t>
      </w:r>
    </w:p>
    <w:p w14:paraId="57C19837">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医疗健康。迭代升级“疫智防控”应用，建立传染病社会共治协作机制，训练疾控领域大模型，开发面向一线工作人员的智能助手。迭代建设“渝小健”医疗健康智能体，面向临床专病诊疗开发智能辅助决策系统，打造医学影像、放射治疗、手术、用药等智能应用。推动名医经验数字化沉淀与辨证论治精准化升级，建立中医专病垂类大模型，构建覆盖多专科、中西医融合的智能体应用库。打造“渝小保”智能体，建设“人工智能+”医保病理云，构建“即问即办”服务体系与跨地区跨机构共享诊断机制。深化数字医共体与药共体建设，构建“筛查</w:t>
      </w:r>
      <w:r>
        <w:rPr>
          <w:rFonts w:hint="eastAsia" w:ascii="方正仿宋_GBK" w:hAnsi="方正仿宋_GBK" w:eastAsia="方正仿宋_GBK" w:cs="方正仿宋_GBK"/>
          <w:spacing w:val="-6"/>
          <w:kern w:val="0"/>
          <w:sz w:val="28"/>
          <w:szCs w:val="28"/>
          <w:highlight w:val="none"/>
          <w:u w:val="none"/>
        </w:rPr>
        <w:t>—早诊—分层治疗”一体化闭环体系，</w:t>
      </w:r>
      <w:r>
        <w:rPr>
          <w:rFonts w:hint="eastAsia" w:ascii="方正仿宋_GBK" w:hAnsi="方正仿宋_GBK" w:eastAsia="方正仿宋_GBK" w:cs="方正仿宋_GBK"/>
          <w:spacing w:val="-6"/>
          <w:kern w:val="0"/>
          <w:sz w:val="28"/>
          <w:szCs w:val="28"/>
          <w:highlight w:val="none"/>
          <w:u w:val="none"/>
          <w:lang w:eastAsia="zh-CN"/>
        </w:rPr>
        <w:t>增</w:t>
      </w:r>
      <w:r>
        <w:rPr>
          <w:rFonts w:hint="eastAsia" w:ascii="方正仿宋_GBK" w:hAnsi="方正仿宋_GBK" w:eastAsia="方正仿宋_GBK" w:cs="方正仿宋_GBK"/>
          <w:spacing w:val="-6"/>
          <w:kern w:val="0"/>
          <w:sz w:val="28"/>
          <w:szCs w:val="28"/>
          <w:highlight w:val="none"/>
          <w:u w:val="none"/>
        </w:rPr>
        <w:t>强药房与药事一体化管理</w:t>
      </w:r>
      <w:r>
        <w:rPr>
          <w:rFonts w:hint="eastAsia" w:ascii="方正仿宋_GBK" w:hAnsi="方正仿宋_GBK" w:eastAsia="方正仿宋_GBK" w:cs="方正仿宋_GBK"/>
          <w:spacing w:val="-6"/>
          <w:kern w:val="0"/>
          <w:sz w:val="28"/>
          <w:szCs w:val="28"/>
          <w:highlight w:val="none"/>
          <w:u w:val="none"/>
          <w:lang w:eastAsia="zh-CN"/>
        </w:rPr>
        <w:t>能力</w:t>
      </w:r>
      <w:r>
        <w:rPr>
          <w:rFonts w:hint="eastAsia" w:ascii="方正仿宋_GBK" w:hAnsi="方正仿宋_GBK" w:eastAsia="方正仿宋_GBK" w:cs="方正仿宋_GBK"/>
          <w:spacing w:val="-6"/>
          <w:kern w:val="0"/>
          <w:sz w:val="28"/>
          <w:szCs w:val="28"/>
          <w:highlight w:val="none"/>
          <w:u w:val="none"/>
        </w:rPr>
        <w:t>，</w:t>
      </w:r>
      <w:r>
        <w:rPr>
          <w:rFonts w:hint="eastAsia" w:ascii="方正仿宋_GBK" w:hAnsi="方正仿宋_GBK" w:eastAsia="方正仿宋_GBK" w:cs="方正仿宋_GBK"/>
          <w:kern w:val="0"/>
          <w:sz w:val="28"/>
          <w:szCs w:val="28"/>
          <w:highlight w:val="none"/>
          <w:u w:val="none"/>
        </w:rPr>
        <w:t>推动分级诊疗、用药监测、医保控费、创新药研发等场景决策。</w:t>
      </w:r>
    </w:p>
    <w:p w14:paraId="507044E1">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“人工智能+”适老适童适残适困。打造一体化智慧养老解决方案，优化智能护理、康复照护、远程监护等养老服务，加快养老机器人、陪伴机器人、人工智能生活助手等产品</w:t>
      </w:r>
      <w:r>
        <w:rPr>
          <w:rFonts w:hint="eastAsia" w:ascii="方正仿宋_GBK" w:hAnsi="方正仿宋_GBK" w:eastAsia="方正仿宋_GBK" w:cs="方正仿宋_GBK"/>
          <w:kern w:val="0"/>
          <w:sz w:val="28"/>
          <w:szCs w:val="28"/>
          <w:highlight w:val="none"/>
          <w:u w:val="none"/>
          <w:lang w:eastAsia="zh-CN"/>
        </w:rPr>
        <w:t>推广</w:t>
      </w:r>
      <w:r>
        <w:rPr>
          <w:rFonts w:hint="eastAsia" w:ascii="方正仿宋_GBK" w:hAnsi="方正仿宋_GBK" w:eastAsia="方正仿宋_GBK" w:cs="方正仿宋_GBK"/>
          <w:kern w:val="0"/>
          <w:sz w:val="28"/>
          <w:szCs w:val="28"/>
          <w:highlight w:val="none"/>
          <w:u w:val="none"/>
        </w:rPr>
        <w:t>应用。推动托育机构、福利院等数智化升级，提供婴幼儿照护、生长发育监测、膳食营养推荐等智能服务，加强保障金精准发放、就学动态追踪、健康状况预警等智能保护。推动无障碍感知、智能康复训练、安全监护等智能应用建设，重点发展智能辅具、康复设备、脑机接口等产品与技术。构建新型社会救助体系，提供救助供养、最低生活保障、临时救助等智能服务。</w:t>
      </w:r>
    </w:p>
    <w:p w14:paraId="08B341E4">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 xml:space="preserve">专栏11 </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“人工智能+”民生福祉高价值应用场景</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40F71D8A">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113" w:type="dxa"/>
              <w:left w:w="142" w:type="dxa"/>
              <w:bottom w:w="113" w:type="dxa"/>
              <w:right w:w="142" w:type="dxa"/>
            </w:tcMar>
            <w:vAlign w:val="center"/>
          </w:tcPr>
          <w:p w14:paraId="12BC7732">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“人工智能+”就业社保。建设人力资源服务行业大模型，打造“高质量就业综合智服”综合场景，建设一批“人工智能+”零工市场</w:t>
            </w:r>
            <w:r>
              <w:rPr>
                <w:rFonts w:hint="eastAsia" w:ascii="方正仿宋_GBK" w:hAnsi="方正仿宋_GBK" w:eastAsia="方正仿宋_GBK" w:cs="方正仿宋_GBK"/>
                <w:kern w:val="0"/>
                <w:sz w:val="28"/>
                <w:szCs w:val="28"/>
                <w:highlight w:val="none"/>
                <w:u w:val="none"/>
                <w:lang w:eastAsia="zh-CN" w:bidi="ar"/>
              </w:rPr>
              <w:t>、</w:t>
            </w:r>
            <w:r>
              <w:rPr>
                <w:rFonts w:hint="eastAsia" w:ascii="方正仿宋_GBK" w:hAnsi="方正仿宋_GBK" w:eastAsia="方正仿宋_GBK" w:cs="方正仿宋_GBK"/>
                <w:kern w:val="0"/>
                <w:sz w:val="28"/>
                <w:szCs w:val="28"/>
                <w:highlight w:val="none"/>
                <w:u w:val="none"/>
                <w:lang w:bidi="ar"/>
              </w:rPr>
              <w:t>“人工智能+”就业驿站。</w:t>
            </w:r>
          </w:p>
          <w:p w14:paraId="3146378B">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“人工智能+”教育教学</w:t>
            </w:r>
            <w:r>
              <w:rPr>
                <w:rFonts w:hint="eastAsia" w:ascii="方正仿宋_GBK" w:hAnsi="方正仿宋_GBK" w:eastAsia="方正仿宋_GBK" w:cs="方正仿宋_GBK"/>
                <w:spacing w:val="6"/>
                <w:kern w:val="0"/>
                <w:sz w:val="28"/>
                <w:szCs w:val="28"/>
                <w:highlight w:val="none"/>
                <w:u w:val="none"/>
                <w:lang w:bidi="ar"/>
              </w:rPr>
              <w:t>。构建人机协同、虚实结合的智慧校园新生态，开发“惠学生”“数智强师”“数智校园”等应用场景，建设50</w:t>
            </w:r>
            <w:r>
              <w:rPr>
                <w:rFonts w:hint="eastAsia" w:ascii="方正仿宋_GBK" w:hAnsi="方正仿宋_GBK" w:eastAsia="方正仿宋_GBK" w:cs="方正仿宋_GBK"/>
                <w:spacing w:val="6"/>
                <w:kern w:val="0"/>
                <w:sz w:val="28"/>
                <w:szCs w:val="28"/>
                <w:highlight w:val="none"/>
                <w:u w:val="none"/>
                <w:lang w:eastAsia="zh-CN" w:bidi="ar"/>
              </w:rPr>
              <w:t>个</w:t>
            </w:r>
            <w:r>
              <w:rPr>
                <w:rFonts w:hint="eastAsia" w:ascii="方正仿宋_GBK" w:hAnsi="方正仿宋_GBK" w:eastAsia="方正仿宋_GBK" w:cs="方正仿宋_GBK"/>
                <w:spacing w:val="6"/>
                <w:kern w:val="0"/>
                <w:sz w:val="28"/>
                <w:szCs w:val="28"/>
                <w:highlight w:val="none"/>
                <w:u w:val="none"/>
                <w:lang w:bidi="ar"/>
              </w:rPr>
              <w:t>“人工智能+”未来学校。</w:t>
            </w:r>
          </w:p>
          <w:p w14:paraId="0D176B94">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“人工智能+”医疗健康。打造一批就医导诊、临床用药等智能医疗场景，建设30</w:t>
            </w:r>
            <w:r>
              <w:rPr>
                <w:rFonts w:hint="eastAsia" w:ascii="方正仿宋_GBK" w:hAnsi="方正仿宋_GBK" w:eastAsia="方正仿宋_GBK" w:cs="方正仿宋_GBK"/>
                <w:kern w:val="0"/>
                <w:sz w:val="28"/>
                <w:szCs w:val="28"/>
                <w:highlight w:val="none"/>
                <w:u w:val="none"/>
                <w:lang w:eastAsia="zh-CN" w:bidi="ar"/>
              </w:rPr>
              <w:t>个</w:t>
            </w:r>
            <w:r>
              <w:rPr>
                <w:rFonts w:hint="eastAsia" w:ascii="方正仿宋_GBK" w:hAnsi="方正仿宋_GBK" w:eastAsia="方正仿宋_GBK" w:cs="方正仿宋_GBK"/>
                <w:kern w:val="0"/>
                <w:sz w:val="28"/>
                <w:szCs w:val="28"/>
                <w:highlight w:val="none"/>
                <w:u w:val="none"/>
                <w:lang w:bidi="ar"/>
              </w:rPr>
              <w:t>“人工智能+”未来医院。加强人工智能在基金监管、就医购药、影像分析等方面的应用，打造“数智医保”综合场景。</w:t>
            </w:r>
          </w:p>
          <w:p w14:paraId="6AD60427">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“人工智能+”康养。打造一批智能护理、情感陪护等适老化场景，建设15</w:t>
            </w:r>
            <w:r>
              <w:rPr>
                <w:rFonts w:hint="eastAsia" w:ascii="方正仿宋_GBK" w:hAnsi="方正仿宋_GBK" w:eastAsia="方正仿宋_GBK" w:cs="方正仿宋_GBK"/>
                <w:kern w:val="0"/>
                <w:sz w:val="28"/>
                <w:szCs w:val="28"/>
                <w:highlight w:val="none"/>
                <w:u w:val="none"/>
                <w:lang w:eastAsia="zh-CN" w:bidi="ar"/>
              </w:rPr>
              <w:t>个</w:t>
            </w:r>
            <w:r>
              <w:rPr>
                <w:rFonts w:hint="eastAsia" w:ascii="方正仿宋_GBK" w:hAnsi="方正仿宋_GBK" w:eastAsia="方正仿宋_GBK" w:cs="方正仿宋_GBK"/>
                <w:kern w:val="0"/>
                <w:sz w:val="28"/>
                <w:szCs w:val="28"/>
                <w:highlight w:val="none"/>
                <w:u w:val="none"/>
                <w:lang w:bidi="ar"/>
              </w:rPr>
              <w:t>“人工智能+”未来养老院。围绕残疾人生活照料、康复训练等场景，建设10</w:t>
            </w:r>
            <w:r>
              <w:rPr>
                <w:rFonts w:hint="eastAsia" w:ascii="方正仿宋_GBK" w:hAnsi="方正仿宋_GBK" w:eastAsia="方正仿宋_GBK" w:cs="方正仿宋_GBK"/>
                <w:kern w:val="0"/>
                <w:sz w:val="28"/>
                <w:szCs w:val="28"/>
                <w:highlight w:val="none"/>
                <w:u w:val="none"/>
                <w:lang w:eastAsia="zh-CN" w:bidi="ar"/>
              </w:rPr>
              <w:t>个</w:t>
            </w:r>
            <w:r>
              <w:rPr>
                <w:rFonts w:hint="eastAsia" w:ascii="方正仿宋_GBK" w:hAnsi="方正仿宋_GBK" w:eastAsia="方正仿宋_GBK" w:cs="方正仿宋_GBK"/>
                <w:kern w:val="0"/>
                <w:sz w:val="28"/>
                <w:szCs w:val="28"/>
                <w:highlight w:val="none"/>
                <w:u w:val="none"/>
                <w:lang w:bidi="ar"/>
              </w:rPr>
              <w:t>“人工智能+”未来康复机构。</w:t>
            </w:r>
          </w:p>
          <w:p w14:paraId="78C17906">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“人工智能+”城市15分钟高品质生活服务圈。建设高品质数智社区“幸福邻里”综合体，打造市民办事助手、政策咨询顾问、生活服务助理等智能应用，优先覆盖老年人、残疾人、低收入群体等。</w:t>
            </w:r>
          </w:p>
        </w:tc>
      </w:tr>
    </w:tbl>
    <w:p w14:paraId="625F2482">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14" w:name="_Toc27420"/>
      <w:r>
        <w:rPr>
          <w:rFonts w:hint="eastAsia" w:ascii="方正仿宋_GBK" w:hAnsi="方正仿宋_GBK" w:eastAsia="方正仿宋_GBK" w:cs="方正仿宋_GBK"/>
          <w:kern w:val="0"/>
          <w:sz w:val="28"/>
          <w:szCs w:val="28"/>
          <w:highlight w:val="none"/>
          <w:u w:val="none"/>
        </w:rPr>
        <w:t>（四）推动人工智能赋能文旅消费</w:t>
      </w:r>
      <w:bookmarkEnd w:id="14"/>
    </w:p>
    <w:p w14:paraId="0C45BB2A">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文化创新。鼓励企业拓展智能编剧、虚拟拍摄、数字人主播等智能应用场景，赋能文学创作、影视制作、动漫游戏等文化产业提质增效。打造一批人工智能数字内容工具，提质重庆独有IP（知识产权）与文创开发，发展“人工智能+”新闻出版、印刷发行、广播影视等新兴业态。建设“15分钟高品质文化生活圈”，支持影院、剧场、书店等文化体验娱乐空间数智化升级，打造一批城市书房、文化驿站、文博展馆等“沉浸城市”智能文化空间。推动云上博物馆、文化馆建设，面向巴蜀文化遗址、石窟寺、工业遗存等重点不可移动文物打造文物虚拟修复、数字化存档、文明演进等智能应用，面向古籍文献等文化文物打造沉浸体验、数字藏品等应用场景。</w:t>
      </w:r>
    </w:p>
    <w:p w14:paraId="4F21E10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旅游。迭代升级文旅智能体，优化官方资源推荐、智能规划、智能导览、投诉处理等全链条旅游服务，加速脑机接口、增强现实、虚拟现实、混合现实等技术场景融合应用。支持重庆中国三峡博物馆、大足石刻等博物馆、景区数智化改造，打造一批“云展览”“虚拟场馆”等场景。发展“人工智能+”都市游、三峡游、遗产游、红色游、温泉游等，持续擦靓“雄奇山水 新韵重庆”文旅品牌。探索“即买即退”“无语障旅游”等智能服务新模式，优化境外游客消费信息精准触达、退税流程智能引导</w:t>
      </w:r>
      <w:r>
        <w:rPr>
          <w:rFonts w:hint="eastAsia" w:ascii="方正仿宋_GBK" w:hAnsi="方正仿宋_GBK" w:eastAsia="方正仿宋_GBK" w:cs="方正仿宋_GBK"/>
          <w:kern w:val="0"/>
          <w:sz w:val="28"/>
          <w:szCs w:val="28"/>
          <w:highlight w:val="none"/>
          <w:u w:val="none"/>
          <w:lang w:val="en-US" w:eastAsia="zh-CN"/>
        </w:rPr>
        <w:t>等服务场景</w:t>
      </w:r>
      <w:r>
        <w:rPr>
          <w:rFonts w:hint="eastAsia" w:ascii="方正仿宋_GBK" w:hAnsi="方正仿宋_GBK" w:eastAsia="方正仿宋_GBK" w:cs="方正仿宋_GBK"/>
          <w:kern w:val="0"/>
          <w:sz w:val="28"/>
          <w:szCs w:val="28"/>
          <w:highlight w:val="none"/>
          <w:u w:val="none"/>
        </w:rPr>
        <w:t>。</w:t>
      </w:r>
    </w:p>
    <w:p w14:paraId="334A3A98">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w:t>
      </w:r>
      <w:r>
        <w:rPr>
          <w:rFonts w:hint="eastAsia" w:ascii="方正仿宋_GBK" w:hAnsi="方正仿宋_GBK" w:eastAsia="方正仿宋_GBK" w:cs="方正仿宋_GBK"/>
          <w:spacing w:val="-6"/>
          <w:kern w:val="0"/>
          <w:sz w:val="28"/>
          <w:szCs w:val="28"/>
          <w:highlight w:val="none"/>
          <w:u w:val="none"/>
        </w:rPr>
        <w:t>工智能+”消费。打造一批融合社交、体验、文化、科技的智慧商圈、智慧街区、智慧门店，落地个性化智能导购、智能试穿、智能客服、智慧演艺等智能原生应用。支持经营主体打造一体化全场景覆盖的智能交互环境与服务入口，大力发展智慧零售、直播电商、无人商店等业态。推广智能汽车、人工智能手机、人工智能电脑、智能机器人、智能家居、智能穿戴等智能终端，加速智能终端“万物智联”。打造健康监测、居家安全监护、无感支付等银发消费数智场景，推动人工智能赋能潮玩经济、“谷子经济”，培育壮大电竞消费、文创消费、情绪消费等新业态。</w:t>
      </w:r>
    </w:p>
    <w:p w14:paraId="0335465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 xml:space="preserve">专栏12 </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“人工智能+”文旅消费高价值应用场景</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1E8CC58D">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96" w:type="dxa"/>
              <w:left w:w="142" w:type="dxa"/>
              <w:bottom w:w="170" w:type="dxa"/>
              <w:right w:w="142" w:type="dxa"/>
            </w:tcMar>
            <w:vAlign w:val="center"/>
          </w:tcPr>
          <w:p w14:paraId="4436B6F0">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416"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“人工智能+”旅游。推动A级</w:t>
            </w:r>
            <w:r>
              <w:rPr>
                <w:rFonts w:hint="eastAsia" w:ascii="方正仿宋_GBK" w:hAnsi="方正仿宋_GBK" w:eastAsia="方正仿宋_GBK" w:cs="方正仿宋_GBK"/>
                <w:kern w:val="0"/>
                <w:sz w:val="28"/>
                <w:szCs w:val="28"/>
                <w:highlight w:val="none"/>
                <w:u w:val="none"/>
                <w:lang w:val="en-US" w:eastAsia="zh-CN" w:bidi="ar"/>
              </w:rPr>
              <w:t>旅游</w:t>
            </w:r>
            <w:r>
              <w:rPr>
                <w:rFonts w:hint="eastAsia" w:ascii="方正仿宋_GBK" w:hAnsi="方正仿宋_GBK" w:eastAsia="方正仿宋_GBK" w:cs="方正仿宋_GBK"/>
                <w:kern w:val="0"/>
                <w:sz w:val="28"/>
                <w:szCs w:val="28"/>
                <w:highlight w:val="none"/>
                <w:u w:val="none"/>
                <w:lang w:bidi="ar"/>
              </w:rPr>
              <w:t>景区数智化提升，围绕数字孪生底座建设、沉浸式导览服务优化，打造差异化数智游览体验</w:t>
            </w:r>
            <w:r>
              <w:rPr>
                <w:rFonts w:hint="eastAsia" w:ascii="方正仿宋_GBK" w:hAnsi="方正仿宋_GBK" w:eastAsia="方正仿宋_GBK" w:cs="方正仿宋_GBK"/>
                <w:kern w:val="0"/>
                <w:sz w:val="28"/>
                <w:szCs w:val="28"/>
                <w:highlight w:val="none"/>
                <w:u w:val="none"/>
                <w:lang w:val="en-US" w:eastAsia="zh-CN" w:bidi="ar"/>
              </w:rPr>
              <w:t>场景</w:t>
            </w:r>
            <w:r>
              <w:rPr>
                <w:rFonts w:hint="eastAsia" w:ascii="方正仿宋_GBK" w:hAnsi="方正仿宋_GBK" w:eastAsia="方正仿宋_GBK" w:cs="方正仿宋_GBK"/>
                <w:kern w:val="0"/>
                <w:sz w:val="28"/>
                <w:szCs w:val="28"/>
                <w:highlight w:val="none"/>
                <w:u w:val="none"/>
                <w:lang w:bidi="ar"/>
              </w:rPr>
              <w:t>。</w:t>
            </w:r>
          </w:p>
          <w:p w14:paraId="2E3ABCFD">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416"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“人工智能+”商贸。打造沉浸式、数智化消费场景，实现客流引导、业态优化等功能，打造20个“人工智能+”未来市场。</w:t>
            </w:r>
          </w:p>
          <w:p w14:paraId="200B7E60">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416"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“人工智能+”场馆。推进博物馆、演艺场馆等文旅类场馆数智焕新，强化人工智能在沉浸式交互展演、智能导览与智能客服等场景应用，打造“未来展厅”。</w:t>
            </w:r>
          </w:p>
        </w:tc>
      </w:tr>
    </w:tbl>
    <w:p w14:paraId="39B3C1E4">
      <w:pPr>
        <w:keepNext w:val="0"/>
        <w:keepLines w:val="0"/>
        <w:pageBreakBefore w:val="0"/>
        <w:widowControl w:val="0"/>
        <w:kinsoku/>
        <w:wordWrap/>
        <w:overflowPunct/>
        <w:topLinePunct w:val="0"/>
        <w:autoSpaceDE/>
        <w:autoSpaceDN/>
        <w:bidi w:val="0"/>
        <w:adjustRightInd w:val="0"/>
        <w:snapToGrid/>
        <w:spacing w:before="118" w:beforeLines="2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15" w:name="_Toc12042"/>
      <w:r>
        <w:rPr>
          <w:rFonts w:hint="eastAsia" w:ascii="方正仿宋_GBK" w:hAnsi="方正仿宋_GBK" w:eastAsia="方正仿宋_GBK" w:cs="方正仿宋_GBK"/>
          <w:kern w:val="0"/>
          <w:sz w:val="28"/>
          <w:szCs w:val="28"/>
          <w:highlight w:val="none"/>
          <w:u w:val="none"/>
        </w:rPr>
        <w:t>（五）推动人工智能赋能</w:t>
      </w:r>
      <w:r>
        <w:rPr>
          <w:rFonts w:hint="eastAsia" w:ascii="方正仿宋_GBK" w:hAnsi="方正仿宋_GBK" w:eastAsia="方正仿宋_GBK" w:cs="方正仿宋_GBK"/>
          <w:kern w:val="0"/>
          <w:sz w:val="28"/>
          <w:szCs w:val="28"/>
          <w:highlight w:val="none"/>
          <w:u w:val="none"/>
          <w:lang w:eastAsia="zh-CN"/>
        </w:rPr>
        <w:t>科学技术</w:t>
      </w:r>
      <w:bookmarkEnd w:id="15"/>
    </w:p>
    <w:p w14:paraId="6ADCCFC8">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人工智能+”科学研究。加快新型科研范式变革，整合学科科研数据资源，建设科学高质量数据集，打造一批科学大模型和科研智能体。创新构建“科创大脑+未来实验室”新型科研体系，实现“数据驱动—智能推演—实验验证—结果分析”全流程赋能。推动基础科研平台和重大科技基础设施智能化升级。强化人工智能跨学科跨领域牵引，开发新材料发现与设计、蛋白质结构预测与功能挖掘、智能生物育种等研发工具与智能设计平台。</w:t>
      </w:r>
    </w:p>
    <w:p w14:paraId="08A6E6B6">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spacing w:val="-6"/>
          <w:kern w:val="0"/>
          <w:sz w:val="28"/>
          <w:szCs w:val="28"/>
          <w:highlight w:val="none"/>
          <w:u w:val="none"/>
        </w:rPr>
      </w:pPr>
      <w:r>
        <w:rPr>
          <w:rFonts w:hint="eastAsia" w:ascii="方正仿宋_GBK" w:hAnsi="方正仿宋_GBK" w:eastAsia="方正仿宋_GBK" w:cs="方正仿宋_GBK"/>
          <w:kern w:val="0"/>
          <w:sz w:val="28"/>
          <w:szCs w:val="28"/>
          <w:highlight w:val="none"/>
          <w:u w:val="none"/>
        </w:rPr>
        <w:t>“</w:t>
      </w:r>
      <w:r>
        <w:rPr>
          <w:rFonts w:hint="eastAsia" w:ascii="方正仿宋_GBK" w:hAnsi="方正仿宋_GBK" w:eastAsia="方正仿宋_GBK" w:cs="方正仿宋_GBK"/>
          <w:spacing w:val="-6"/>
          <w:kern w:val="0"/>
          <w:sz w:val="28"/>
          <w:szCs w:val="28"/>
          <w:highlight w:val="none"/>
          <w:u w:val="none"/>
        </w:rPr>
        <w:t>人工智能+”哲学社会科学。探索建立适应人工智能时代的新型研究组织形式，开发大规模文本语义解析、司法案例推演、复杂社会系统仿真建模等智能体，推动哲学社会科学研究方法向人机协同模式转变。聚焦人工智能伦理争议、社会公平、隐私保护等问题，开展人工智能法律规制体系研究、认识论与方法论重构、人机协同伦理框架设计、数字文明价值谱系构建等前沿领域探索。</w:t>
      </w:r>
    </w:p>
    <w:p w14:paraId="10DEE5C6">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专栏13</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“人工智能+”</w:t>
      </w:r>
      <w:r>
        <w:rPr>
          <w:rFonts w:hint="eastAsia" w:ascii="方正仿宋_GBK" w:hAnsi="方正仿宋_GBK" w:eastAsia="方正仿宋_GBK" w:cs="方正仿宋_GBK"/>
          <w:kern w:val="0"/>
          <w:sz w:val="28"/>
          <w:szCs w:val="28"/>
          <w:highlight w:val="none"/>
          <w:u w:val="none"/>
          <w:lang w:eastAsia="zh-CN"/>
        </w:rPr>
        <w:t>科学技术</w:t>
      </w:r>
      <w:r>
        <w:rPr>
          <w:rFonts w:hint="eastAsia" w:ascii="方正仿宋_GBK" w:hAnsi="方正仿宋_GBK" w:eastAsia="方正仿宋_GBK" w:cs="方正仿宋_GBK"/>
          <w:kern w:val="0"/>
          <w:sz w:val="28"/>
          <w:szCs w:val="28"/>
          <w:highlight w:val="none"/>
          <w:u w:val="none"/>
        </w:rPr>
        <w:t>高价值应用场景</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0764E22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113" w:type="dxa"/>
              <w:left w:w="142" w:type="dxa"/>
              <w:bottom w:w="113" w:type="dxa"/>
              <w:right w:w="142" w:type="dxa"/>
            </w:tcMar>
            <w:vAlign w:val="center"/>
          </w:tcPr>
          <w:p w14:paraId="0CE09FC9">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生命健康。围绕传染病、儿童罕见病、癌症等，构建具备机理解析、靶点预测的模型。研发具有疗效模拟评估、受试者入组管理等能力的智能临床试验管理系统。构建面向基层的人工智能辅助乳腺癌、肝癌等高发癌种筛查分级诊疗新模式。</w:t>
            </w:r>
          </w:p>
          <w:p w14:paraId="5C57A045">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“人工智能+”新材料。攻关轻合金多尺度建模与高通量计算，玻璃纤维、锶新材料智能组分设计与性能调控，新一代碳基、氟基、硅基高分子材料智能设计与合成优化等技术。</w:t>
            </w:r>
          </w:p>
          <w:p w14:paraId="7788404B">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“人工智能+”绿色低碳。攻关新型储能材料智能筛选、虚拟电厂协同调度、低碳冶炼智能控制</w:t>
            </w:r>
            <w:r>
              <w:rPr>
                <w:rFonts w:hint="eastAsia" w:ascii="方正仿宋_GBK" w:hAnsi="方正仿宋_GBK" w:eastAsia="方正仿宋_GBK" w:cs="方正仿宋_GBK"/>
                <w:kern w:val="0"/>
                <w:sz w:val="28"/>
                <w:szCs w:val="28"/>
                <w:highlight w:val="none"/>
                <w:u w:val="none"/>
                <w:lang w:eastAsia="zh-CN" w:bidi="ar"/>
              </w:rPr>
              <w:t>、</w:t>
            </w:r>
            <w:r>
              <w:rPr>
                <w:rFonts w:hint="eastAsia" w:ascii="方正仿宋_GBK" w:hAnsi="方正仿宋_GBK" w:eastAsia="方正仿宋_GBK" w:cs="方正仿宋_GBK"/>
                <w:kern w:val="0"/>
                <w:sz w:val="28"/>
                <w:szCs w:val="28"/>
                <w:highlight w:val="none"/>
                <w:u w:val="none"/>
                <w:lang w:bidi="ar"/>
              </w:rPr>
              <w:t>清洁燃料智能冷启动等技术。</w:t>
            </w:r>
          </w:p>
        </w:tc>
      </w:tr>
    </w:tbl>
    <w:p w14:paraId="7D07424A">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bookmarkStart w:id="16" w:name="_Toc3046"/>
      <w:r>
        <w:rPr>
          <w:rFonts w:hint="eastAsia" w:ascii="方正仿宋_GBK" w:hAnsi="方正仿宋_GBK" w:eastAsia="方正仿宋_GBK" w:cs="方正仿宋_GBK"/>
          <w:kern w:val="0"/>
          <w:sz w:val="28"/>
          <w:szCs w:val="28"/>
          <w:highlight w:val="none"/>
          <w:u w:val="none"/>
          <w:lang w:bidi="ar"/>
        </w:rPr>
        <w:t>五、构建人工智能融合发展生态</w:t>
      </w:r>
      <w:bookmarkEnd w:id="16"/>
    </w:p>
    <w:p w14:paraId="2F116CA9">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17" w:name="_Toc31053"/>
      <w:r>
        <w:rPr>
          <w:rFonts w:hint="eastAsia" w:ascii="方正仿宋_GBK" w:hAnsi="方正仿宋_GBK" w:eastAsia="方正仿宋_GBK" w:cs="方正仿宋_GBK"/>
          <w:kern w:val="0"/>
          <w:sz w:val="28"/>
          <w:szCs w:val="28"/>
          <w:highlight w:val="none"/>
          <w:u w:val="none"/>
        </w:rPr>
        <w:t>（一）发展人工智能特色产业</w:t>
      </w:r>
      <w:bookmarkEnd w:id="17"/>
    </w:p>
    <w:p w14:paraId="5F429AB4">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发展智能低空产业。研制大载重、长续航并满足特殊场景需要的无人机，研发地理测绘、城市巡检等领域工业级无人机。大力发展通信、导航、监视、气象、农业等</w:t>
      </w:r>
      <w:r>
        <w:rPr>
          <w:rFonts w:hint="eastAsia" w:ascii="方正仿宋_GBK" w:hAnsi="方正仿宋_GBK" w:eastAsia="方正仿宋_GBK" w:cs="方正仿宋_GBK"/>
          <w:kern w:val="0"/>
          <w:sz w:val="28"/>
          <w:szCs w:val="28"/>
          <w:highlight w:val="none"/>
          <w:u w:val="none"/>
          <w:lang w:eastAsia="zh-CN"/>
        </w:rPr>
        <w:t>领域</w:t>
      </w:r>
      <w:r>
        <w:rPr>
          <w:rFonts w:hint="eastAsia" w:ascii="方正仿宋_GBK" w:hAnsi="方正仿宋_GBK" w:eastAsia="方正仿宋_GBK" w:cs="方正仿宋_GBK"/>
          <w:kern w:val="0"/>
          <w:sz w:val="28"/>
          <w:szCs w:val="28"/>
          <w:highlight w:val="none"/>
          <w:u w:val="none"/>
        </w:rPr>
        <w:t>高性能智能航电产品，加速研发无人机物流柜、无人机智能起降台、便携式起降台等新型智能起降装备。有序推进市级低空飞行综合管理服务平台改造升级，强化低空空域规划、飞行管理、飞行服务、飞行监管、飞行评价等系统功能模块建设，形成低空空域管理新模式。</w:t>
      </w:r>
    </w:p>
    <w:p w14:paraId="5667E601">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发展智能家居产业。开展智能家居领域价值对齐与意图推理、端侧安全可信智能体框架、多智能体自主进化与持续学习等研究。加快推动冰箱、空调、洗衣机等搭载具备通用认知能力的轻量化智能决策系统，实现主动服务、节能优化、故障预测诊断等功能的实时智能决策。研发智能厨电终端产品，深化电视、音箱、投影等终端与端侧人工智能融合，提升多模态感知与泛化交互水平。加速家庭中控系统、智能照明、安防监控、智能门锁、扫地机器人等设备实现全域场景感知联动控制，构建全屋智能生态体系。推动智能家居从单品智能迈向全屋协同、人车家互联，培育服务机器人、智能安防等特色产业集群。</w:t>
      </w:r>
    </w:p>
    <w:p w14:paraId="32DA7C90">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发展具身智能产业。加快研发工业、服务、特种机器人，研发具备多模态感知和场景自适应解决能力的人形机器人，迭代升级四足、仿生机器人，探索适应复杂物理空间、极端工况、贫困信息环境条件的通用具身智能产品。加快推进器、驱动器、减速器、编码器等关键零部件规模化生产，推动六维力传感器、视觉传感器、触觉传感器、力矩传感器等量产应用。加速机器人操作系统、信息融合算法、决策算法、边缘计算等软件算法开发。打造具身智能开源平台，建设超大城市具身智能实训场，打通数据、技术、硬件全链条闭环。</w:t>
      </w:r>
    </w:p>
    <w:p w14:paraId="2734F40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发展智能汽车产业。推动多模态人机交互智能座舱规模化应用，加强高性能、低成本车控软件平台及功能模块开发，加快高算力、高能效比、高安全的芯片自主攻关，加大线控制动、线控转向、线控悬架等底盘系统关键部件研发力度，强化智能驾驶发展，重点突破多传感器融合感知、决策控制算法及端到端一体化解决方案，推广多形式载人载物应用项目。鼓励企业加速迭代安全车控操作系统、智能驾驶操作系统、车载操作系统，推动汽车向“移动智能体”跃迁。</w:t>
      </w:r>
    </w:p>
    <w:p w14:paraId="543AB99A">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发展新一代智能终端产业。发展人工智能手机和电脑，加速具备多模态交互、智能决策、任务编排等功能产品研制，强化智能终端产品间融合贯通。发展智能眼镜、智能手表、智能耳机、智能头盔等智能穿戴设备，发展智能视听终端产品和智能直播一体机、全景智能摄像机等终端产品，发展智能手办、虚拟偶像等智能潮玩和智能平板、智能学习机等智能教辅产品。</w:t>
      </w:r>
    </w:p>
    <w:p w14:paraId="1AA6705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highlight w:val="none"/>
          <w:u w:val="none"/>
          <w:lang w:eastAsia="zh-CN"/>
        </w:rPr>
      </w:pPr>
      <w:r>
        <w:rPr>
          <w:rFonts w:hint="eastAsia" w:ascii="方正仿宋_GBK" w:hAnsi="方正仿宋_GBK" w:eastAsia="方正仿宋_GBK" w:cs="方正仿宋_GBK"/>
          <w:kern w:val="0"/>
          <w:sz w:val="28"/>
          <w:szCs w:val="28"/>
          <w:highlight w:val="none"/>
          <w:u w:val="none"/>
        </w:rPr>
        <w:t xml:space="preserve">专栏14 </w:t>
      </w:r>
      <w:r>
        <w:rPr>
          <w:rFonts w:hint="eastAsia" w:ascii="方正仿宋_GBK" w:hAnsi="方正仿宋_GBK" w:eastAsia="方正仿宋_GBK" w:cs="方正仿宋_GBK"/>
          <w:kern w:val="0"/>
          <w:sz w:val="28"/>
          <w:szCs w:val="28"/>
          <w:highlight w:val="none"/>
          <w:u w:val="none"/>
          <w:lang w:val="en-US" w:eastAsia="zh-CN"/>
        </w:rPr>
        <w:t xml:space="preserve"> </w:t>
      </w:r>
      <w:r>
        <w:rPr>
          <w:rFonts w:hint="eastAsia" w:ascii="方正仿宋_GBK" w:hAnsi="方正仿宋_GBK" w:eastAsia="方正仿宋_GBK" w:cs="方正仿宋_GBK"/>
          <w:kern w:val="0"/>
          <w:sz w:val="28"/>
          <w:szCs w:val="28"/>
          <w:highlight w:val="none"/>
          <w:u w:val="none"/>
        </w:rPr>
        <w:t>人工智能特色产业集群培育</w:t>
      </w:r>
      <w:r>
        <w:rPr>
          <w:rFonts w:hint="eastAsia" w:ascii="方正仿宋_GBK" w:hAnsi="方正仿宋_GBK" w:eastAsia="方正仿宋_GBK" w:cs="方正仿宋_GBK"/>
          <w:kern w:val="0"/>
          <w:sz w:val="28"/>
          <w:szCs w:val="28"/>
          <w:highlight w:val="none"/>
          <w:u w:val="none"/>
          <w:lang w:eastAsia="zh-CN"/>
        </w:rPr>
        <w:t>重点方向</w:t>
      </w:r>
    </w:p>
    <w:tbl>
      <w:tblPr>
        <w:tblStyle w:val="9"/>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0" w:type="dxa"/>
          <w:bottom w:w="0" w:type="dxa"/>
          <w:right w:w="0" w:type="dxa"/>
        </w:tblCellMar>
      </w:tblPr>
      <w:tblGrid>
        <w:gridCol w:w="9128"/>
      </w:tblGrid>
      <w:tr w14:paraId="1B70488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rPr>
          <w:trHeight w:val="397" w:hRule="atLeast"/>
          <w:jc w:val="center"/>
        </w:trPr>
        <w:tc>
          <w:tcPr>
            <w:tcW w:w="9128" w:type="dxa"/>
            <w:noWrap w:val="0"/>
            <w:tcMar>
              <w:top w:w="113" w:type="dxa"/>
              <w:left w:w="142" w:type="dxa"/>
              <w:bottom w:w="159" w:type="dxa"/>
              <w:right w:w="142" w:type="dxa"/>
            </w:tcMar>
            <w:vAlign w:val="center"/>
          </w:tcPr>
          <w:p w14:paraId="6CB2B101">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8"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智能低空产业。支持两江新区、西部科学城重庆高新区、万州、永川、梁平、大足、巴南、垫江等培育智能低空产业集群。</w:t>
            </w:r>
          </w:p>
          <w:p w14:paraId="2FF4A5B5">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8"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智能家居产业。支持南岸、两江新区、九龙坡、大渡口、万州、铜梁、璧山、合川等培育智能家居产业集群。</w:t>
            </w:r>
          </w:p>
          <w:p w14:paraId="05EF0406">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8"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具身智能产业。支持两江新区、大渡口、巴南、沙坪坝、</w:t>
            </w:r>
            <w:r>
              <w:rPr>
                <w:rFonts w:hint="eastAsia" w:ascii="方正仿宋_GBK" w:hAnsi="方正仿宋_GBK" w:eastAsia="方正仿宋_GBK" w:cs="方正仿宋_GBK"/>
                <w:kern w:val="0"/>
                <w:sz w:val="28"/>
                <w:szCs w:val="28"/>
                <w:highlight w:val="none"/>
                <w:u w:val="none"/>
                <w:lang w:eastAsia="zh-CN" w:bidi="ar"/>
              </w:rPr>
              <w:t>南岸、</w:t>
            </w:r>
            <w:r>
              <w:rPr>
                <w:rFonts w:hint="eastAsia" w:ascii="方正仿宋_GBK" w:hAnsi="方正仿宋_GBK" w:eastAsia="方正仿宋_GBK" w:cs="方正仿宋_GBK"/>
                <w:kern w:val="0"/>
                <w:sz w:val="28"/>
                <w:szCs w:val="28"/>
                <w:highlight w:val="none"/>
                <w:u w:val="none"/>
                <w:lang w:bidi="ar"/>
              </w:rPr>
              <w:t>永川、璧山、铜梁、九龙坡、长寿、綦江、潼南、涪陵、西部科学城重庆高新区等培育具身智能产业集群。</w:t>
            </w:r>
          </w:p>
          <w:p w14:paraId="1BE09AD3">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8"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智能汽车产业。支持两江新区、南岸、沙坪坝、西部科学城重庆高新区、九龙坡、万州、长寿、江津、璧山、铜梁、合川、涪陵等培育智能汽车产业集群。</w:t>
            </w:r>
          </w:p>
          <w:p w14:paraId="45080F1B">
            <w:pPr>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8" w:lineRule="exact"/>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新一代智能终端产业。支持两江新区、西部科学城重庆高新区、南岸等培育新一代智能终端产业集群。</w:t>
            </w:r>
          </w:p>
        </w:tc>
      </w:tr>
    </w:tbl>
    <w:p w14:paraId="2B39972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18" w:name="_Toc27477"/>
      <w:r>
        <w:rPr>
          <w:rFonts w:hint="eastAsia" w:ascii="方正仿宋_GBK" w:hAnsi="方正仿宋_GBK" w:eastAsia="方正仿宋_GBK" w:cs="方正仿宋_GBK"/>
          <w:kern w:val="0"/>
          <w:sz w:val="28"/>
          <w:szCs w:val="28"/>
          <w:highlight w:val="none"/>
          <w:u w:val="none"/>
        </w:rPr>
        <w:t>（二）培育企业发展生态</w:t>
      </w:r>
      <w:bookmarkEnd w:id="18"/>
    </w:p>
    <w:p w14:paraId="681E37AA">
      <w:pPr>
        <w:keepNext w:val="0"/>
        <w:keepLines w:val="0"/>
        <w:pageBreakBefore w:val="0"/>
        <w:widowControl w:val="0"/>
        <w:suppressLineNumbers w:val="0"/>
        <w:kinsoku/>
        <w:wordWrap/>
        <w:overflowPunct/>
        <w:topLinePunct w:val="0"/>
        <w:autoSpaceDE/>
        <w:autoSpaceDN/>
        <w:bidi w:val="0"/>
        <w:adjustRightInd w:val="0"/>
        <w:snapToGrid/>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打造人工智能创新孵化生态。做强“模力高地”等创新孵化生态社区，加快建设一批特色孵化器、加速器、产业研究院。实施“模数共振”行动，引导算力企业、模型企业、数据企业和应用开发企业组建创新联合体，共同开展模型研制、软硬适配、数据处理、应用方案设计与开发。常态化发布人工智能场景机会清单、能力清单，构建动态场景库。</w:t>
      </w:r>
    </w:p>
    <w:p w14:paraId="6E603BAC">
      <w:pPr>
        <w:keepNext w:val="0"/>
        <w:keepLines w:val="0"/>
        <w:pageBreakBefore w:val="0"/>
        <w:widowControl w:val="0"/>
        <w:suppressLineNumbers w:val="0"/>
        <w:kinsoku/>
        <w:wordWrap/>
        <w:overflowPunct/>
        <w:topLinePunct w:val="0"/>
        <w:autoSpaceDE/>
        <w:autoSpaceDN/>
        <w:bidi w:val="0"/>
        <w:adjustRightInd w:val="0"/>
        <w:snapToGrid/>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梯度引育人工智能企业。挖掘培育一批高潜力、高成长创业团队，加大</w:t>
      </w:r>
      <w:r>
        <w:rPr>
          <w:rFonts w:hint="eastAsia" w:ascii="方正仿宋_GBK" w:hAnsi="方正仿宋_GBK" w:eastAsia="方正仿宋_GBK" w:cs="方正仿宋_GBK"/>
          <w:kern w:val="0"/>
          <w:sz w:val="28"/>
          <w:szCs w:val="28"/>
          <w:highlight w:val="none"/>
          <w:u w:val="none"/>
          <w:lang w:val="en-US" w:eastAsia="zh-CN"/>
        </w:rPr>
        <w:t>对</w:t>
      </w:r>
      <w:r>
        <w:rPr>
          <w:rFonts w:hint="eastAsia" w:ascii="方正仿宋_GBK" w:hAnsi="方正仿宋_GBK" w:eastAsia="方正仿宋_GBK" w:cs="方正仿宋_GBK"/>
          <w:kern w:val="0"/>
          <w:sz w:val="28"/>
          <w:szCs w:val="28"/>
          <w:highlight w:val="none"/>
          <w:u w:val="none"/>
        </w:rPr>
        <w:t>初创企业</w:t>
      </w:r>
      <w:r>
        <w:rPr>
          <w:rFonts w:hint="eastAsia" w:ascii="方正仿宋_GBK" w:hAnsi="方正仿宋_GBK" w:eastAsia="方正仿宋_GBK" w:cs="方正仿宋_GBK"/>
          <w:kern w:val="0"/>
          <w:sz w:val="28"/>
          <w:szCs w:val="28"/>
          <w:highlight w:val="none"/>
          <w:u w:val="none"/>
          <w:lang w:val="en-US" w:eastAsia="zh-CN"/>
        </w:rPr>
        <w:t>的</w:t>
      </w:r>
      <w:r>
        <w:rPr>
          <w:rFonts w:hint="eastAsia" w:ascii="方正仿宋_GBK" w:hAnsi="方正仿宋_GBK" w:eastAsia="方正仿宋_GBK" w:cs="方正仿宋_GBK"/>
          <w:kern w:val="0"/>
          <w:sz w:val="28"/>
          <w:szCs w:val="28"/>
          <w:highlight w:val="none"/>
          <w:u w:val="none"/>
        </w:rPr>
        <w:t>扶持力度，支持各类企业向智能原生方向转型发展。加速推进高新技术企业和科技型企业“双提质”，深入实施“选种、育苗、培优”人工智能企业梯度培育机制，促进专精特新“小巨人”、独角兽、瞪羚企业等数量倍增。</w:t>
      </w:r>
    </w:p>
    <w:p w14:paraId="58409FAF">
      <w:pPr>
        <w:keepNext w:val="0"/>
        <w:keepLines w:val="0"/>
        <w:pageBreakBefore w:val="0"/>
        <w:widowControl w:val="0"/>
        <w:suppressLineNumbers w:val="0"/>
        <w:kinsoku/>
        <w:wordWrap/>
        <w:overflowPunct/>
        <w:topLinePunct w:val="0"/>
        <w:autoSpaceDE/>
        <w:autoSpaceDN/>
        <w:bidi w:val="0"/>
        <w:adjustRightInd w:val="0"/>
        <w:snapToGrid/>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打造“未来星”OPC创业生态。推动创新创业载体开展人</w:t>
      </w:r>
      <w:r>
        <w:rPr>
          <w:rFonts w:hint="eastAsia" w:ascii="方正仿宋_GBK" w:hAnsi="方正仿宋_GBK" w:eastAsia="方正仿宋_GBK" w:cs="方正仿宋_GBK"/>
          <w:spacing w:val="-7"/>
          <w:kern w:val="0"/>
          <w:sz w:val="28"/>
          <w:szCs w:val="28"/>
          <w:highlight w:val="none"/>
          <w:u w:val="none"/>
        </w:rPr>
        <w:t>工智能OPC适应化改造，布局一批OPC创新创业创意社区，发</w:t>
      </w:r>
      <w:r>
        <w:rPr>
          <w:rFonts w:hint="eastAsia" w:ascii="方正仿宋_GBK" w:hAnsi="方正仿宋_GBK" w:eastAsia="方正仿宋_GBK" w:cs="方正仿宋_GBK"/>
          <w:kern w:val="0"/>
          <w:sz w:val="28"/>
          <w:szCs w:val="28"/>
          <w:highlight w:val="none"/>
          <w:u w:val="none"/>
        </w:rPr>
        <w:t>展</w:t>
      </w:r>
      <w:r>
        <w:rPr>
          <w:rFonts w:hint="eastAsia" w:ascii="方正仿宋_GBK" w:hAnsi="方正仿宋_GBK" w:eastAsia="方正仿宋_GBK" w:cs="方正仿宋_GBK"/>
          <w:spacing w:val="-5"/>
          <w:kern w:val="0"/>
          <w:sz w:val="28"/>
          <w:szCs w:val="28"/>
          <w:highlight w:val="none"/>
          <w:u w:val="none"/>
        </w:rPr>
        <w:t>一批“模式创新型”OPC和“场景应用型”OPC。探索建立</w:t>
      </w:r>
      <w:r>
        <w:rPr>
          <w:rFonts w:hint="eastAsia" w:ascii="方正仿宋_GBK" w:hAnsi="方正仿宋_GBK" w:eastAsia="方正仿宋_GBK" w:cs="方正仿宋_GBK"/>
          <w:kern w:val="0"/>
          <w:sz w:val="28"/>
          <w:szCs w:val="28"/>
          <w:highlight w:val="none"/>
          <w:u w:val="none"/>
        </w:rPr>
        <w:t>OPC开办绿色通道服务</w:t>
      </w:r>
      <w:r>
        <w:rPr>
          <w:rFonts w:hint="eastAsia" w:ascii="方正仿宋_GBK" w:hAnsi="方正仿宋_GBK" w:eastAsia="方正仿宋_GBK" w:cs="方正仿宋_GBK"/>
          <w:kern w:val="0"/>
          <w:sz w:val="28"/>
          <w:szCs w:val="28"/>
          <w:highlight w:val="none"/>
          <w:u w:val="none"/>
          <w:lang w:val="en-US" w:eastAsia="zh-CN"/>
        </w:rPr>
        <w:t>机制</w:t>
      </w:r>
      <w:r>
        <w:rPr>
          <w:rFonts w:hint="eastAsia" w:ascii="方正仿宋_GBK" w:hAnsi="方正仿宋_GBK" w:eastAsia="方正仿宋_GBK" w:cs="方正仿宋_GBK"/>
          <w:kern w:val="0"/>
          <w:sz w:val="28"/>
          <w:szCs w:val="28"/>
          <w:highlight w:val="none"/>
          <w:u w:val="none"/>
        </w:rPr>
        <w:t>，支持区县为OPC提供租金减免、共享办公空间、零租工位等政策，定期发布OPC场景开放清单，支持建设人工智能生成内容（AIGC）大模型服务平台、算力供需匹配平台，为OPC社区提供模型接口、安全合规检测、低成本数据语料、开源智能体部署等服务。</w:t>
      </w:r>
    </w:p>
    <w:p w14:paraId="09239A9F">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bookmarkStart w:id="19" w:name="_Toc21495"/>
      <w:r>
        <w:rPr>
          <w:rFonts w:hint="eastAsia" w:ascii="方正仿宋_GBK" w:hAnsi="方正仿宋_GBK" w:eastAsia="方正仿宋_GBK" w:cs="方正仿宋_GBK"/>
          <w:kern w:val="0"/>
          <w:sz w:val="28"/>
          <w:szCs w:val="28"/>
          <w:highlight w:val="none"/>
          <w:u w:val="none"/>
        </w:rPr>
        <w:t>（三）构建市域开源协同生态</w:t>
      </w:r>
      <w:bookmarkEnd w:id="19"/>
    </w:p>
    <w:p w14:paraId="59A04BAE">
      <w:pPr>
        <w:keepNext w:val="0"/>
        <w:keepLines w:val="0"/>
        <w:pageBreakBefore w:val="0"/>
        <w:widowControl w:val="0"/>
        <w:suppressLineNumbers w:val="0"/>
        <w:kinsoku/>
        <w:wordWrap/>
        <w:overflowPunct/>
        <w:topLinePunct w:val="0"/>
        <w:autoSpaceDE/>
        <w:autoSpaceDN/>
        <w:bidi w:val="0"/>
        <w:adjustRightInd w:val="0"/>
        <w:snapToGrid/>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培育开源创新生态。鼓励企业联合开发者社区、开源基金会打造开源社区，建立跨行业、跨领域的开源协同创新平台，开放核心算法与预训练模型，孵化并培育一批具备底层支撑能力的原创开源项目。支持高校院所与企业组建人工智能开源产业联盟，联合开发开源技术课程、建设开源实训基地、组织全球开发者大会。强化项目专项补贴、荣誉认证等政策供给，高规格举办竞技赛事。</w:t>
      </w:r>
    </w:p>
    <w:p w14:paraId="79080883">
      <w:pPr>
        <w:keepNext w:val="0"/>
        <w:keepLines w:val="0"/>
        <w:pageBreakBefore w:val="0"/>
        <w:widowControl w:val="0"/>
        <w:suppressLineNumbers w:val="0"/>
        <w:kinsoku/>
        <w:wordWrap/>
        <w:overflowPunct/>
        <w:topLinePunct w:val="0"/>
        <w:autoSpaceDE/>
        <w:autoSpaceDN/>
        <w:bidi w:val="0"/>
        <w:adjustRightInd w:val="0"/>
        <w:snapToGrid/>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构建国产软硬件协同生态。强化基础软硬件协同，培育硬件开放生态，构建兼容统一互联协议，完善共用中间层软件栈，加速软硬件生态建设，加强国产大模型与国产算力芯片适配。推动应用软件协同，鼓励开源社区、科研机构、企业等参与应用生态建设，打造兼容开放的应用开发框架、工具链、运行环境，强化云边端平台兼容适配。推动标准研制与前沿技术、产业发展相衔接，强化开源安全检测，完善供应链成熟度评估与断链风险防范机制。</w:t>
      </w:r>
    </w:p>
    <w:p w14:paraId="0E1EBB59">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20" w:name="_Toc21907"/>
      <w:r>
        <w:rPr>
          <w:rFonts w:hint="eastAsia" w:ascii="方正仿宋_GBK" w:hAnsi="方正仿宋_GBK" w:eastAsia="方正仿宋_GBK" w:cs="方正仿宋_GBK"/>
          <w:kern w:val="0"/>
          <w:sz w:val="28"/>
          <w:szCs w:val="28"/>
          <w:highlight w:val="none"/>
          <w:u w:val="none"/>
        </w:rPr>
        <w:t>（四）深化全市域要素市场化配置综合改革</w:t>
      </w:r>
      <w:bookmarkEnd w:id="20"/>
    </w:p>
    <w:p w14:paraId="59B30DB0">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深化技术要素市场化配置改革。深化职务科技成果赋权改革，推广“企业出题、企业出资、企业牵头、企业评价验收”的产学研协同攻关模式。支持企业联合高校院所、行业用户组建产业创新综合体，布局成果转化服务平台，打通技术攻关、成果孵化、中试熟化、产业落地全链路。推动专利快速预审，开展国际知识产权交易运营，建立完善知识产权价值评估、风险定价、转让交易等服务</w:t>
      </w:r>
      <w:r>
        <w:rPr>
          <w:rFonts w:hint="eastAsia" w:ascii="方正仿宋_GBK" w:hAnsi="方正仿宋_GBK" w:eastAsia="方正仿宋_GBK" w:cs="方正仿宋_GBK"/>
          <w:kern w:val="0"/>
          <w:sz w:val="28"/>
          <w:szCs w:val="28"/>
          <w:highlight w:val="none"/>
          <w:u w:val="none"/>
          <w:lang w:val="en-US" w:eastAsia="zh-CN"/>
        </w:rPr>
        <w:t>机制</w:t>
      </w:r>
      <w:r>
        <w:rPr>
          <w:rFonts w:hint="eastAsia" w:ascii="方正仿宋_GBK" w:hAnsi="方正仿宋_GBK" w:eastAsia="方正仿宋_GBK" w:cs="方正仿宋_GBK"/>
          <w:kern w:val="0"/>
          <w:sz w:val="28"/>
          <w:szCs w:val="28"/>
          <w:highlight w:val="none"/>
          <w:u w:val="none"/>
        </w:rPr>
        <w:t>，构建“全流程、一站式”科技成果及知识产权交易服务体系。</w:t>
      </w:r>
    </w:p>
    <w:p w14:paraId="77CA880F">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深化数据要素市场化配置改革。深化落实数据持有权、使用权、经营权“三权分置”产权制度，全面贯彻落实国家数据产权登记制度，鼓励权利人开展数据产权登记，将登记凭证作为开展或参与数据要素流通交易、融资担保等活动的可信凭证。规范公共数据资源授权运营，鼓励公共数据与企业数据融合开发利用。</w:t>
      </w:r>
      <w:r>
        <w:rPr>
          <w:rFonts w:hint="eastAsia" w:ascii="方正仿宋_GBK" w:hAnsi="方正仿宋_GBK" w:eastAsia="方正仿宋_GBK" w:cs="方正仿宋_GBK"/>
          <w:spacing w:val="-7"/>
          <w:kern w:val="0"/>
          <w:sz w:val="28"/>
          <w:szCs w:val="28"/>
          <w:highlight w:val="none"/>
          <w:u w:val="none"/>
        </w:rPr>
        <w:t>健全交易中心产品上架挂牌、交付结算、交易存证等规则体系，</w:t>
      </w:r>
      <w:r>
        <w:rPr>
          <w:rFonts w:hint="eastAsia" w:ascii="方正仿宋_GBK" w:hAnsi="方正仿宋_GBK" w:eastAsia="方正仿宋_GBK" w:cs="方正仿宋_GBK"/>
          <w:kern w:val="0"/>
          <w:sz w:val="28"/>
          <w:szCs w:val="28"/>
          <w:highlight w:val="none"/>
          <w:u w:val="none"/>
        </w:rPr>
        <w:t>推广标准化交易合同，开展数据交易价格监测。健全公共数据资源授权运营价格形成机制，探索公共数据授权运营收益分配机制。</w:t>
      </w:r>
    </w:p>
    <w:p w14:paraId="57611B4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深化人力资源要素市场化配置改革。探索建立“企业认证、政府认账”等市场化人才评价机制。完善人工智能人才激励机制，落实高层次人才绩效工资总量单列、科研人员职务科技成果转化现金奖励等政策。健全以创新能力、质量、实效、贡献为导向的人才评价体系，分类优化基础算法研究、应用模型开发、智能系统集成等人才评价标准。</w:t>
      </w:r>
    </w:p>
    <w:p w14:paraId="00FBC4C8">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深化资本要素市场化配置改革。引导头部股权投资机构、产业资本设立人工智能母基金、子基金和天使投资基金，加大对人工智能企业、科研机构“投早、投小、投硬科技”</w:t>
      </w:r>
      <w:r>
        <w:rPr>
          <w:rFonts w:hint="eastAsia" w:ascii="方正仿宋_GBK" w:hAnsi="方正仿宋_GBK" w:eastAsia="方正仿宋_GBK" w:cs="方正仿宋_GBK"/>
          <w:kern w:val="0"/>
          <w:sz w:val="28"/>
          <w:szCs w:val="28"/>
          <w:highlight w:val="none"/>
          <w:u w:val="none"/>
          <w:lang w:eastAsia="zh-CN"/>
        </w:rPr>
        <w:t>的</w:t>
      </w:r>
      <w:r>
        <w:rPr>
          <w:rFonts w:hint="eastAsia" w:ascii="方正仿宋_GBK" w:hAnsi="方正仿宋_GBK" w:eastAsia="方正仿宋_GBK" w:cs="方正仿宋_GBK"/>
          <w:kern w:val="0"/>
          <w:sz w:val="28"/>
          <w:szCs w:val="28"/>
          <w:highlight w:val="none"/>
          <w:u w:val="none"/>
        </w:rPr>
        <w:t>支持力度。鼓励金融机构向人工智能企业提供“股贷债保担”多元化金融服务，探索开发“经营贷”“算力贷”等专属</w:t>
      </w:r>
      <w:r>
        <w:rPr>
          <w:rFonts w:hint="eastAsia" w:ascii="方正仿宋_GBK" w:hAnsi="方正仿宋_GBK" w:eastAsia="方正仿宋_GBK" w:cs="方正仿宋_GBK"/>
          <w:kern w:val="0"/>
          <w:sz w:val="28"/>
          <w:szCs w:val="28"/>
          <w:highlight w:val="none"/>
          <w:u w:val="none"/>
          <w:lang w:eastAsia="zh-CN"/>
        </w:rPr>
        <w:t>金融</w:t>
      </w:r>
      <w:r>
        <w:rPr>
          <w:rFonts w:hint="eastAsia" w:ascii="方正仿宋_GBK" w:hAnsi="方正仿宋_GBK" w:eastAsia="方正仿宋_GBK" w:cs="方正仿宋_GBK"/>
          <w:kern w:val="0"/>
          <w:sz w:val="28"/>
          <w:szCs w:val="28"/>
          <w:highlight w:val="none"/>
          <w:u w:val="none"/>
        </w:rPr>
        <w:t>产品，将企业的算法模型、知识产权、数据资产使用权纳入合格抵押物范围。</w:t>
      </w:r>
    </w:p>
    <w:p w14:paraId="68E29AF2">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bookmarkStart w:id="21" w:name="_Toc30505"/>
      <w:r>
        <w:rPr>
          <w:rFonts w:hint="eastAsia" w:ascii="方正仿宋_GBK" w:hAnsi="方正仿宋_GBK" w:eastAsia="方正仿宋_GBK" w:cs="方正仿宋_GBK"/>
          <w:kern w:val="0"/>
          <w:sz w:val="28"/>
          <w:szCs w:val="28"/>
          <w:highlight w:val="none"/>
          <w:u w:val="none"/>
          <w:lang w:bidi="ar"/>
        </w:rPr>
        <w:t>六、加速人工智能开放共赢</w:t>
      </w:r>
      <w:bookmarkEnd w:id="21"/>
    </w:p>
    <w:p w14:paraId="36B31283">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22" w:name="_Toc21590"/>
      <w:r>
        <w:rPr>
          <w:rFonts w:hint="eastAsia" w:ascii="方正仿宋_GBK" w:hAnsi="方正仿宋_GBK" w:eastAsia="方正仿宋_GBK" w:cs="方正仿宋_GBK"/>
          <w:kern w:val="0"/>
          <w:sz w:val="28"/>
          <w:szCs w:val="28"/>
          <w:highlight w:val="none"/>
          <w:u w:val="none"/>
        </w:rPr>
        <w:t>（一）打造人工智能开放综合枢纽</w:t>
      </w:r>
      <w:bookmarkEnd w:id="22"/>
    </w:p>
    <w:p w14:paraId="47956AA0">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打造智能算力枢纽。推动成渝地区算力资源统筹联动和优化配置，合作开展算力监测调度国家试点，共建区域一体化算力监测调度体系。加强与国内算力枢纽节点合作，以“结对子”模式与国内重点需求城市</w:t>
      </w:r>
      <w:r>
        <w:rPr>
          <w:rFonts w:hint="eastAsia" w:ascii="方正仿宋_GBK" w:hAnsi="方正仿宋_GBK" w:eastAsia="方正仿宋_GBK" w:cs="方正仿宋_GBK"/>
          <w:kern w:val="0"/>
          <w:sz w:val="28"/>
          <w:szCs w:val="28"/>
          <w:highlight w:val="none"/>
          <w:u w:val="none"/>
          <w:lang w:eastAsia="zh-CN" w:bidi="ar"/>
        </w:rPr>
        <w:t>开展</w:t>
      </w:r>
      <w:r>
        <w:rPr>
          <w:rFonts w:hint="eastAsia" w:ascii="方正仿宋_GBK" w:hAnsi="方正仿宋_GBK" w:eastAsia="方正仿宋_GBK" w:cs="方正仿宋_GBK"/>
          <w:kern w:val="0"/>
          <w:sz w:val="28"/>
          <w:szCs w:val="28"/>
          <w:highlight w:val="none"/>
          <w:u w:val="none"/>
          <w:lang w:bidi="ar"/>
        </w:rPr>
        <w:t>跨域算力协作。探索跨境算力合作模式，建立以词元为结算单位的跨境算力支付机制，实现跨国算力服务的实时结算与低成本流转</w:t>
      </w:r>
      <w:r>
        <w:rPr>
          <w:rFonts w:hint="eastAsia" w:ascii="方正仿宋_GBK" w:hAnsi="方正仿宋_GBK" w:eastAsia="方正仿宋_GBK" w:cs="方正仿宋_GBK"/>
          <w:kern w:val="0"/>
          <w:sz w:val="28"/>
          <w:szCs w:val="28"/>
          <w:highlight w:val="none"/>
          <w:u w:val="none"/>
          <w:lang w:eastAsia="zh-CN" w:bidi="ar"/>
        </w:rPr>
        <w:t>。</w:t>
      </w:r>
      <w:r>
        <w:rPr>
          <w:rFonts w:hint="eastAsia" w:ascii="方正仿宋_GBK" w:hAnsi="方正仿宋_GBK" w:eastAsia="方正仿宋_GBK" w:cs="方正仿宋_GBK"/>
          <w:kern w:val="0"/>
          <w:sz w:val="28"/>
          <w:szCs w:val="28"/>
          <w:highlight w:val="none"/>
          <w:u w:val="none"/>
          <w:lang w:bidi="ar"/>
        </w:rPr>
        <w:t>加强与国际云服务商深度合作，共建普惠共享的国际算力资源池，拓展国际算力客户资源。</w:t>
      </w:r>
    </w:p>
    <w:p w14:paraId="6A58B70E">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打造高质量数据枢纽。积极参与“数字丝绸之路”建设，依托中新（重庆）国际互联网数据专用通道和中新数字贸易合作，面向东南亚、中亚及上合组织国家建设国际数据服务集聚区，开展数据互通试点，共建体现语言和文明多样性的基础语料库，打造数据跨境流通的西部枢纽。加快构建链接西部、辐射全国的数据要素流通交易枢纽，积极探索数据资产化、证券化等新模式，健全数据定价、结算与监管体系。探索建设跨境可信数据空间，实现数据安全合规的跨境流通闭环。</w:t>
      </w:r>
    </w:p>
    <w:p w14:paraId="4FC211E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bookmarkStart w:id="23" w:name="_Toc6007"/>
      <w:r>
        <w:rPr>
          <w:rFonts w:hint="eastAsia" w:ascii="方正仿宋_GBK" w:hAnsi="方正仿宋_GBK" w:eastAsia="方正仿宋_GBK" w:cs="方正仿宋_GBK"/>
          <w:kern w:val="0"/>
          <w:sz w:val="28"/>
          <w:szCs w:val="28"/>
          <w:highlight w:val="none"/>
          <w:u w:val="none"/>
        </w:rPr>
        <w:t>（二）搭建人工智能合作交流平台</w:t>
      </w:r>
      <w:bookmarkEnd w:id="23"/>
    </w:p>
    <w:p w14:paraId="74769EC8">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lang w:bidi="ar"/>
        </w:rPr>
        <w:t>用好世界智能产业博览会、“一带一路”科技交流大会、中国西部国际投资贸易洽谈会等</w:t>
      </w:r>
      <w:r>
        <w:rPr>
          <w:rFonts w:hint="eastAsia" w:ascii="方正仿宋_GBK" w:hAnsi="方正仿宋_GBK" w:eastAsia="方正仿宋_GBK" w:cs="方正仿宋_GBK"/>
          <w:kern w:val="0"/>
          <w:sz w:val="28"/>
          <w:szCs w:val="28"/>
          <w:highlight w:val="none"/>
          <w:u w:val="none"/>
          <w:lang w:val="en-US" w:eastAsia="zh-CN" w:bidi="ar"/>
        </w:rPr>
        <w:t>展</w:t>
      </w:r>
      <w:r>
        <w:rPr>
          <w:rFonts w:hint="eastAsia" w:ascii="方正仿宋_GBK" w:hAnsi="方正仿宋_GBK" w:eastAsia="方正仿宋_GBK" w:cs="方正仿宋_GBK"/>
          <w:kern w:val="0"/>
          <w:sz w:val="28"/>
          <w:szCs w:val="28"/>
          <w:highlight w:val="none"/>
          <w:u w:val="none"/>
          <w:lang w:bidi="ar"/>
        </w:rPr>
        <w:t>会平台，举办人工智能生态大会、人工智能赋能科技创新大会、国际通用人工智能大会</w:t>
      </w:r>
      <w:r>
        <w:rPr>
          <w:rFonts w:hint="eastAsia" w:ascii="方正仿宋_GBK" w:hAnsi="方正仿宋_GBK" w:eastAsia="方正仿宋_GBK" w:cs="方正仿宋_GBK"/>
          <w:kern w:val="0"/>
          <w:sz w:val="28"/>
          <w:szCs w:val="28"/>
          <w:highlight w:val="none"/>
          <w:u w:val="none"/>
          <w:lang w:val="en-US" w:eastAsia="zh-CN" w:bidi="ar"/>
        </w:rPr>
        <w:t>等活动</w:t>
      </w:r>
      <w:r>
        <w:rPr>
          <w:rFonts w:hint="eastAsia" w:ascii="方正仿宋_GBK" w:hAnsi="方正仿宋_GBK" w:eastAsia="方正仿宋_GBK" w:cs="方正仿宋_GBK"/>
          <w:kern w:val="0"/>
          <w:sz w:val="28"/>
          <w:szCs w:val="28"/>
          <w:highlight w:val="none"/>
          <w:u w:val="none"/>
          <w:lang w:bidi="ar"/>
        </w:rPr>
        <w:t>，推动产业对接和多边交流合作。建强国际人工智能产业联盟、人才培养联盟，协同发展大模型、具身智能等领域协会，围绕智能驾驶、无人机、机器人举办场景赛、竞速赛、技能赛，打造一批重庆人工智能赛事品牌。</w:t>
      </w:r>
    </w:p>
    <w:p w14:paraId="612D791E">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bookmarkStart w:id="24" w:name="_Toc7371"/>
      <w:r>
        <w:rPr>
          <w:rFonts w:hint="eastAsia" w:ascii="方正仿宋_GBK" w:hAnsi="方正仿宋_GBK" w:eastAsia="方正仿宋_GBK" w:cs="方正仿宋_GBK"/>
          <w:kern w:val="0"/>
          <w:sz w:val="28"/>
          <w:szCs w:val="28"/>
          <w:highlight w:val="none"/>
          <w:u w:val="none"/>
        </w:rPr>
        <w:t>（三）完善人工智能科技合作机制</w:t>
      </w:r>
      <w:bookmarkEnd w:id="24"/>
    </w:p>
    <w:p w14:paraId="2BFA531A">
      <w:pPr>
        <w:keepNext w:val="0"/>
        <w:keepLines w:val="0"/>
        <w:pageBreakBefore w:val="0"/>
        <w:widowControl w:val="0"/>
        <w:suppressLineNumbers w:val="0"/>
        <w:shd w:val="clear" w:color="auto" w:fill="FFFFFF"/>
        <w:kinsoku/>
        <w:wordWrap/>
        <w:overflowPunct/>
        <w:topLinePunct w:val="0"/>
        <w:autoSpaceDE/>
        <w:autoSpaceDN/>
        <w:bidi w:val="0"/>
        <w:adjustRightInd w:val="0"/>
        <w:snapToGrid/>
        <w:spacing w:beforeAutospacing="0" w:afterAutospacing="0"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r>
        <w:rPr>
          <w:rFonts w:hint="eastAsia" w:ascii="方正仿宋_GBK" w:hAnsi="方正仿宋_GBK" w:eastAsia="方正仿宋_GBK" w:cs="方正仿宋_GBK"/>
          <w:kern w:val="0"/>
          <w:sz w:val="28"/>
          <w:szCs w:val="28"/>
          <w:highlight w:val="none"/>
          <w:u w:val="none"/>
          <w:lang w:bidi="ar"/>
        </w:rPr>
        <w:t>拓展人工智能技术在物流、商贸、制造等领域的跨区域应</w:t>
      </w:r>
      <w:r>
        <w:rPr>
          <w:rFonts w:hint="eastAsia" w:ascii="方正仿宋_GBK" w:hAnsi="方正仿宋_GBK" w:eastAsia="方正仿宋_GBK" w:cs="方正仿宋_GBK"/>
          <w:spacing w:val="-6"/>
          <w:kern w:val="0"/>
          <w:sz w:val="28"/>
          <w:szCs w:val="28"/>
          <w:highlight w:val="none"/>
          <w:u w:val="none"/>
          <w:lang w:bidi="ar"/>
        </w:rPr>
        <w:t>用，共建“一带一路”人工智能联合实验室、人才联合培养基</w:t>
      </w:r>
      <w:r>
        <w:rPr>
          <w:rFonts w:hint="eastAsia" w:ascii="方正仿宋_GBK" w:hAnsi="方正仿宋_GBK" w:eastAsia="方正仿宋_GBK" w:cs="方正仿宋_GBK"/>
          <w:kern w:val="0"/>
          <w:sz w:val="28"/>
          <w:szCs w:val="28"/>
          <w:highlight w:val="none"/>
          <w:u w:val="none"/>
          <w:lang w:bidi="ar"/>
        </w:rPr>
        <w:t>地，开展工业视觉、多语种大模型等跨境项目合作</w:t>
      </w:r>
      <w:r>
        <w:rPr>
          <w:rFonts w:hint="eastAsia" w:ascii="方正仿宋_GBK" w:hAnsi="方正仿宋_GBK" w:eastAsia="方正仿宋_GBK" w:cs="方正仿宋_GBK"/>
          <w:kern w:val="0"/>
          <w:sz w:val="28"/>
          <w:szCs w:val="28"/>
          <w:highlight w:val="none"/>
          <w:u w:val="none"/>
          <w:lang w:eastAsia="zh-CN" w:bidi="ar"/>
        </w:rPr>
        <w:t>。</w:t>
      </w:r>
      <w:r>
        <w:rPr>
          <w:rFonts w:hint="eastAsia" w:ascii="方正仿宋_GBK" w:hAnsi="方正仿宋_GBK" w:eastAsia="方正仿宋_GBK" w:cs="方正仿宋_GBK"/>
          <w:kern w:val="0"/>
          <w:sz w:val="28"/>
          <w:szCs w:val="28"/>
          <w:highlight w:val="none"/>
          <w:u w:val="none"/>
          <w:lang w:bidi="ar"/>
        </w:rPr>
        <w:t>依托“一带一路”国际技术转移中心，加快人工智能技术输出。支持企业面向“一带一路”国家布局全域智慧城市、跨境智能制造园区、跨国智慧物流系统等重大出海场景，探索建立跨国应用场景需求发布机制。开展跨区域人才交流合作。加强与先进地区合作，支持共建重点实验室，共同承担人工智能基础理论、大模型算法、具身智能等领域重大科技任务，组织实施一批协同创新科研项目。</w:t>
      </w:r>
    </w:p>
    <w:p w14:paraId="26F970AE">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bookmarkStart w:id="25" w:name="_Toc17559"/>
      <w:r>
        <w:rPr>
          <w:rFonts w:hint="eastAsia" w:ascii="方正仿宋_GBK" w:hAnsi="方正仿宋_GBK" w:eastAsia="方正仿宋_GBK" w:cs="方正仿宋_GBK"/>
          <w:kern w:val="0"/>
          <w:sz w:val="28"/>
          <w:szCs w:val="28"/>
          <w:highlight w:val="none"/>
          <w:u w:val="none"/>
          <w:lang w:bidi="ar"/>
        </w:rPr>
        <w:t>七、确保人工智能安全可控</w:t>
      </w:r>
      <w:bookmarkEnd w:id="25"/>
    </w:p>
    <w:p w14:paraId="3D39E5C6">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26" w:name="_Toc31245"/>
      <w:r>
        <w:rPr>
          <w:rFonts w:hint="eastAsia" w:ascii="方正仿宋_GBK" w:hAnsi="方正仿宋_GBK" w:eastAsia="方正仿宋_GBK" w:cs="方正仿宋_GBK"/>
          <w:kern w:val="0"/>
          <w:sz w:val="28"/>
          <w:szCs w:val="28"/>
          <w:highlight w:val="none"/>
          <w:u w:val="none"/>
        </w:rPr>
        <w:t>（一）完善人工智能法治规范体系</w:t>
      </w:r>
      <w:bookmarkEnd w:id="26"/>
    </w:p>
    <w:p w14:paraId="244ED992">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36"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spacing w:val="-6"/>
          <w:kern w:val="0"/>
          <w:sz w:val="28"/>
          <w:szCs w:val="28"/>
          <w:highlight w:val="none"/>
          <w:u w:val="none"/>
        </w:rPr>
        <w:t>加快完善人工智能法律法规配套制度，健全责任认定机制，</w:t>
      </w:r>
      <w:r>
        <w:rPr>
          <w:rFonts w:hint="eastAsia" w:ascii="方正仿宋_GBK" w:hAnsi="方正仿宋_GBK" w:eastAsia="方正仿宋_GBK" w:cs="方正仿宋_GBK"/>
          <w:kern w:val="0"/>
          <w:sz w:val="28"/>
          <w:szCs w:val="28"/>
          <w:highlight w:val="none"/>
          <w:u w:val="none"/>
        </w:rPr>
        <w:t>探索人工智能生成内容的知识产权界定和利益分配机制。健全人工智能智能体、模型标准体系，鼓励企业、科研机构主导或参与制定国际、国家标准，支持企业按照相关标准研发产品服务。研究制定重点领域行业标准、应用规范和安全指南，推动重庆标准成果向行业示范应用转化。强化人工智能伦理审查，建立和完善人工智能科技伦理标准体系。强化用户隐私保护，建立用户信息全</w:t>
      </w:r>
      <w:r>
        <w:rPr>
          <w:rFonts w:hint="eastAsia" w:ascii="方正仿宋_GBK" w:hAnsi="方正仿宋_GBK" w:eastAsia="方正仿宋_GBK" w:cs="方正仿宋_GBK"/>
          <w:spacing w:val="-7"/>
          <w:kern w:val="0"/>
          <w:sz w:val="28"/>
          <w:szCs w:val="28"/>
          <w:highlight w:val="none"/>
          <w:u w:val="none"/>
        </w:rPr>
        <w:t>生命周期安全保护制度。开展现行法律法规、政策指导、应用规</w:t>
      </w:r>
      <w:r>
        <w:rPr>
          <w:rFonts w:hint="eastAsia" w:ascii="方正仿宋_GBK" w:hAnsi="方正仿宋_GBK" w:eastAsia="方正仿宋_GBK" w:cs="方正仿宋_GBK"/>
          <w:spacing w:val="-6"/>
          <w:kern w:val="0"/>
          <w:sz w:val="28"/>
          <w:szCs w:val="28"/>
          <w:highlight w:val="none"/>
          <w:u w:val="none"/>
        </w:rPr>
        <w:t>范、伦理准则等实施效果评估，有序推进规则条款的修订和废止。</w:t>
      </w:r>
    </w:p>
    <w:p w14:paraId="51D68166">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27" w:name="_Toc5771"/>
      <w:r>
        <w:rPr>
          <w:rFonts w:hint="eastAsia" w:ascii="方正仿宋_GBK" w:hAnsi="方正仿宋_GBK" w:eastAsia="方正仿宋_GBK" w:cs="方正仿宋_GBK"/>
          <w:kern w:val="0"/>
          <w:sz w:val="28"/>
          <w:szCs w:val="28"/>
          <w:highlight w:val="none"/>
          <w:u w:val="none"/>
        </w:rPr>
        <w:t>（二）强化全链条风险防范与分类监管</w:t>
      </w:r>
      <w:bookmarkEnd w:id="27"/>
    </w:p>
    <w:p w14:paraId="354EB118">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strike w:val="0"/>
          <w:kern w:val="0"/>
          <w:sz w:val="28"/>
          <w:szCs w:val="28"/>
          <w:highlight w:val="none"/>
          <w:u w:val="none"/>
        </w:rPr>
        <w:t>建立模型能力监测机制。</w:t>
      </w:r>
      <w:r>
        <w:rPr>
          <w:rFonts w:hint="eastAsia" w:ascii="方正仿宋_GBK" w:hAnsi="方正仿宋_GBK" w:eastAsia="方正仿宋_GBK" w:cs="方正仿宋_GBK"/>
          <w:kern w:val="0"/>
          <w:sz w:val="28"/>
          <w:szCs w:val="28"/>
          <w:highlight w:val="none"/>
          <w:u w:val="none"/>
        </w:rPr>
        <w:t>加强敏感数据、核心数据安全管控，建立全链条数据安全管理机制。加强智能体、大模型、数字虚拟人等新技术风险研判，打击自动化攻击、隐私侵犯、虚假信息生成传播、网络诈骗等违法犯罪行为，规范各类拟人化互动服务平台全链条安全管理，防范生成式人工智能滥用、深度合成等新型风险。建立“场景特征+风险等级”监管机制，对高风险场景实施严格准入和动态监管，对低风险场景实施包容审慎监管。对人工智能新技术、新产业、新业态等监管政策探索设置观察期和过渡期，建立监管手段灵活调整机制。</w:t>
      </w:r>
    </w:p>
    <w:p w14:paraId="183FA06E">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28" w:name="_Toc28"/>
      <w:r>
        <w:rPr>
          <w:rFonts w:hint="eastAsia" w:ascii="方正仿宋_GBK" w:hAnsi="方正仿宋_GBK" w:eastAsia="方正仿宋_GBK" w:cs="方正仿宋_GBK"/>
          <w:kern w:val="0"/>
          <w:sz w:val="28"/>
          <w:szCs w:val="28"/>
          <w:highlight w:val="none"/>
          <w:u w:val="none"/>
        </w:rPr>
        <w:t>（三）夯实人工智能安全保障基础</w:t>
      </w:r>
      <w:bookmarkEnd w:id="28"/>
    </w:p>
    <w:p w14:paraId="45BA75E4">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构建覆盖云网边端的一体化算力安全防护体系，建立“疆算入渝”跨域算力传输和调度安全监测机制。建立人工智能产品验证与检测体系，制定产品分级安全验证规范和性能检测标准。建立人工智能核心供应链安全管理制度，对人工智能芯片、基础算法库、开源模型及开发工具链实行常态化风险排查。探索设立高自主度智能体安全行为边界，强化智能体在人机交互、自主决策、多模态环境中的行为可信性与风险防控能力</w:t>
      </w:r>
      <w:r>
        <w:rPr>
          <w:rFonts w:hint="eastAsia" w:ascii="方正仿宋_GBK" w:hAnsi="方正仿宋_GBK" w:eastAsia="方正仿宋_GBK" w:cs="方正仿宋_GBK"/>
          <w:kern w:val="0"/>
          <w:sz w:val="28"/>
          <w:szCs w:val="28"/>
          <w:highlight w:val="none"/>
          <w:u w:val="none"/>
          <w:lang w:eastAsia="zh-CN"/>
        </w:rPr>
        <w:t>建设</w:t>
      </w:r>
      <w:r>
        <w:rPr>
          <w:rFonts w:hint="eastAsia" w:ascii="方正仿宋_GBK" w:hAnsi="方正仿宋_GBK" w:eastAsia="方正仿宋_GBK" w:cs="方正仿宋_GBK"/>
          <w:kern w:val="0"/>
          <w:sz w:val="28"/>
          <w:szCs w:val="28"/>
          <w:highlight w:val="none"/>
          <w:u w:val="none"/>
        </w:rPr>
        <w:t>，建</w:t>
      </w:r>
      <w:r>
        <w:rPr>
          <w:rFonts w:hint="eastAsia" w:ascii="方正仿宋_GBK" w:hAnsi="方正仿宋_GBK" w:eastAsia="方正仿宋_GBK" w:cs="方正仿宋_GBK"/>
          <w:kern w:val="0"/>
          <w:sz w:val="28"/>
          <w:szCs w:val="28"/>
          <w:highlight w:val="none"/>
          <w:u w:val="none"/>
          <w:lang w:eastAsia="zh-CN"/>
        </w:rPr>
        <w:t>立</w:t>
      </w:r>
      <w:r>
        <w:rPr>
          <w:rFonts w:hint="eastAsia" w:ascii="方正仿宋_GBK" w:hAnsi="方正仿宋_GBK" w:eastAsia="方正仿宋_GBK" w:cs="方正仿宋_GBK"/>
          <w:kern w:val="0"/>
          <w:sz w:val="28"/>
          <w:szCs w:val="28"/>
          <w:highlight w:val="none"/>
          <w:u w:val="none"/>
        </w:rPr>
        <w:t>“监管沙盒”和测评体系，加强模型黑箱幻觉、语料污染、算法歧视</w:t>
      </w:r>
      <w:r>
        <w:rPr>
          <w:rFonts w:hint="eastAsia" w:ascii="方正仿宋_GBK" w:hAnsi="方正仿宋_GBK" w:eastAsia="方正仿宋_GBK" w:cs="方正仿宋_GBK"/>
          <w:spacing w:val="-6"/>
          <w:kern w:val="0"/>
          <w:sz w:val="28"/>
          <w:szCs w:val="28"/>
          <w:highlight w:val="none"/>
          <w:u w:val="none"/>
        </w:rPr>
        <w:t>等内生安全风险防范。建设“网络安全大脑”，构建“人工智能</w:t>
      </w:r>
      <w:r>
        <w:rPr>
          <w:rFonts w:hint="eastAsia" w:ascii="方正仿宋_GBK" w:hAnsi="方正仿宋_GBK" w:eastAsia="方正仿宋_GBK" w:cs="方正仿宋_GBK"/>
          <w:kern w:val="0"/>
          <w:sz w:val="28"/>
          <w:szCs w:val="28"/>
          <w:highlight w:val="none"/>
          <w:u w:val="none"/>
        </w:rPr>
        <w:t>+网络安全”监测和防御体系，形成安全“熔断”机制与“一键管控”能力。</w:t>
      </w:r>
    </w:p>
    <w:p w14:paraId="51575AB7">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bookmarkStart w:id="29" w:name="_Toc25912"/>
      <w:r>
        <w:rPr>
          <w:rFonts w:hint="eastAsia" w:ascii="方正仿宋_GBK" w:hAnsi="方正仿宋_GBK" w:eastAsia="方正仿宋_GBK" w:cs="方正仿宋_GBK"/>
          <w:kern w:val="0"/>
          <w:sz w:val="28"/>
          <w:szCs w:val="28"/>
          <w:highlight w:val="none"/>
          <w:u w:val="none"/>
        </w:rPr>
        <w:t>（四）构建多元协同治理格局</w:t>
      </w:r>
      <w:bookmarkEnd w:id="29"/>
    </w:p>
    <w:p w14:paraId="1AB3CE83">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rPr>
      </w:pPr>
      <w:r>
        <w:rPr>
          <w:rFonts w:hint="eastAsia" w:ascii="方正仿宋_GBK" w:hAnsi="方正仿宋_GBK" w:eastAsia="方正仿宋_GBK" w:cs="方正仿宋_GBK"/>
          <w:kern w:val="0"/>
          <w:sz w:val="28"/>
          <w:szCs w:val="28"/>
          <w:highlight w:val="none"/>
          <w:u w:val="none"/>
        </w:rPr>
        <w:t>建立跨部门协同监管机制，鼓励行业企业牵头建立自律公约和合规指引，明确人工智能功能合规、算法治理、知识产权保护、公平竞争等规范细则。强化人工智能专业服务供给，实行差异化合规管理，对技术滥用、诱导消费、虚假宣传、隐瞒缺陷信息等行为，实施失信惩戒。畅通社会监督渠道，鼓励社会公众、媒体、专家参与规则制定和方案优化。加强安全科普宣传，提升公众对算法陷阱、深度伪造等风险的识别防范能力。建立健全人工智能</w:t>
      </w:r>
      <w:r>
        <w:rPr>
          <w:rFonts w:hint="eastAsia" w:ascii="方正仿宋_GBK" w:hAnsi="方正仿宋_GBK" w:eastAsia="方正仿宋_GBK" w:cs="方正仿宋_GBK"/>
          <w:kern w:val="0"/>
          <w:sz w:val="28"/>
          <w:szCs w:val="28"/>
          <w:highlight w:val="none"/>
          <w:u w:val="none"/>
          <w:lang w:eastAsia="zh-CN"/>
        </w:rPr>
        <w:t>对</w:t>
      </w:r>
      <w:r>
        <w:rPr>
          <w:rFonts w:hint="eastAsia" w:ascii="方正仿宋_GBK" w:hAnsi="方正仿宋_GBK" w:eastAsia="方正仿宋_GBK" w:cs="方正仿宋_GBK"/>
          <w:kern w:val="0"/>
          <w:sz w:val="28"/>
          <w:szCs w:val="28"/>
          <w:highlight w:val="none"/>
          <w:u w:val="none"/>
        </w:rPr>
        <w:t>就业影响</w:t>
      </w:r>
      <w:r>
        <w:rPr>
          <w:rFonts w:hint="eastAsia" w:ascii="方正仿宋_GBK" w:hAnsi="方正仿宋_GBK" w:eastAsia="方正仿宋_GBK" w:cs="方正仿宋_GBK"/>
          <w:kern w:val="0"/>
          <w:sz w:val="28"/>
          <w:szCs w:val="28"/>
          <w:highlight w:val="none"/>
          <w:u w:val="none"/>
          <w:lang w:eastAsia="zh-CN"/>
        </w:rPr>
        <w:t>的</w:t>
      </w:r>
      <w:r>
        <w:rPr>
          <w:rFonts w:hint="eastAsia" w:ascii="方正仿宋_GBK" w:hAnsi="方正仿宋_GBK" w:eastAsia="方正仿宋_GBK" w:cs="方正仿宋_GBK"/>
          <w:kern w:val="0"/>
          <w:sz w:val="28"/>
          <w:szCs w:val="28"/>
          <w:highlight w:val="none"/>
          <w:u w:val="none"/>
        </w:rPr>
        <w:t>应对机制。</w:t>
      </w:r>
    </w:p>
    <w:p w14:paraId="2B6DCBE6">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highlight w:val="none"/>
          <w:u w:val="none"/>
          <w:lang w:bidi="ar"/>
        </w:rPr>
      </w:pPr>
      <w:bookmarkStart w:id="30" w:name="_Toc29608"/>
      <w:r>
        <w:rPr>
          <w:rFonts w:hint="eastAsia" w:ascii="方正仿宋_GBK" w:hAnsi="方正仿宋_GBK" w:eastAsia="方正仿宋_GBK" w:cs="方正仿宋_GBK"/>
          <w:kern w:val="0"/>
          <w:sz w:val="28"/>
          <w:szCs w:val="28"/>
          <w:highlight w:val="none"/>
          <w:u w:val="none"/>
          <w:lang w:bidi="ar"/>
        </w:rPr>
        <w:t>八、</w:t>
      </w:r>
      <w:bookmarkEnd w:id="30"/>
      <w:r>
        <w:rPr>
          <w:rFonts w:hint="eastAsia" w:ascii="方正仿宋_GBK" w:hAnsi="方正仿宋_GBK" w:eastAsia="方正仿宋_GBK" w:cs="方正仿宋_GBK"/>
          <w:kern w:val="0"/>
          <w:sz w:val="28"/>
          <w:szCs w:val="28"/>
          <w:highlight w:val="none"/>
          <w:u w:val="none"/>
          <w:lang w:eastAsia="zh-CN" w:bidi="ar"/>
        </w:rPr>
        <w:t>加强组织实施</w:t>
      </w:r>
    </w:p>
    <w:p w14:paraId="5E914AEF">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560" w:firstLineChars="200"/>
        <w:jc w:val="both"/>
        <w:textAlignment w:val="auto"/>
        <w:outlineLvl w:val="9"/>
        <w:rPr>
          <w:rFonts w:hint="eastAsia" w:ascii="方正仿宋_GBK" w:hAnsi="方正仿宋_GBK" w:eastAsia="方正仿宋_GBK" w:cs="方正仿宋_GBK"/>
          <w:kern w:val="0"/>
          <w:sz w:val="28"/>
          <w:szCs w:val="28"/>
          <w:lang w:val="en-US" w:eastAsia="zh-CN"/>
        </w:rPr>
      </w:pPr>
      <w:r>
        <w:rPr>
          <w:rFonts w:hint="eastAsia" w:ascii="方正仿宋_GBK" w:hAnsi="方正仿宋_GBK" w:eastAsia="方正仿宋_GBK" w:cs="方正仿宋_GBK"/>
          <w:kern w:val="0"/>
          <w:sz w:val="28"/>
          <w:szCs w:val="28"/>
          <w:highlight w:val="none"/>
          <w:u w:val="none"/>
        </w:rPr>
        <w:t>坚持和加强党对人工智能发展和治理</w:t>
      </w:r>
      <w:r>
        <w:rPr>
          <w:rFonts w:hint="eastAsia" w:ascii="方正仿宋_GBK" w:hAnsi="方正仿宋_GBK" w:eastAsia="方正仿宋_GBK" w:cs="方正仿宋_GBK"/>
          <w:kern w:val="0"/>
          <w:sz w:val="28"/>
          <w:szCs w:val="28"/>
          <w:highlight w:val="none"/>
          <w:u w:val="none"/>
          <w:lang w:eastAsia="zh-CN"/>
        </w:rPr>
        <w:t>工作</w:t>
      </w:r>
      <w:r>
        <w:rPr>
          <w:rFonts w:hint="eastAsia" w:ascii="方正仿宋_GBK" w:hAnsi="方正仿宋_GBK" w:eastAsia="方正仿宋_GBK" w:cs="方正仿宋_GBK"/>
          <w:kern w:val="0"/>
          <w:sz w:val="28"/>
          <w:szCs w:val="28"/>
          <w:highlight w:val="none"/>
          <w:u w:val="none"/>
        </w:rPr>
        <w:t>的全面领导</w:t>
      </w:r>
      <w:r>
        <w:rPr>
          <w:rFonts w:hint="eastAsia" w:ascii="方正仿宋_GBK" w:hAnsi="方正仿宋_GBK" w:eastAsia="方正仿宋_GBK" w:cs="方正仿宋_GBK"/>
          <w:kern w:val="0"/>
          <w:sz w:val="28"/>
          <w:szCs w:val="28"/>
          <w:highlight w:val="none"/>
          <w:u w:val="none"/>
          <w:lang w:eastAsia="zh-CN"/>
        </w:rPr>
        <w:t>，</w:t>
      </w:r>
      <w:r>
        <w:rPr>
          <w:rFonts w:hint="eastAsia" w:ascii="方正仿宋_GBK" w:hAnsi="方正仿宋_GBK" w:eastAsia="方正仿宋_GBK" w:cs="方正仿宋_GBK"/>
          <w:kern w:val="0"/>
          <w:sz w:val="28"/>
          <w:szCs w:val="28"/>
          <w:highlight w:val="none"/>
          <w:u w:val="none"/>
        </w:rPr>
        <w:t>优化市“人工智能+”行动工作协调机制，强化部门高效联动，完善目标体系、工作体系、政策体系、评价体系。按照国家部署建立健全全市智能经济统计核算体系和人工智能发展关键指标监测体系，开展规划实施中期评估与总结评估，根据实际情况动态优化任务举措。加强政策解读，多渠道展示人工智能应用成效。</w:t>
      </w:r>
    </w:p>
    <w:p w14:paraId="525C78BC">
      <w:pPr>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D00E22"/>
    <w:rsid w:val="34826CC5"/>
    <w:rsid w:val="3B05722F"/>
    <w:rsid w:val="7BD00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next w:val="1"/>
    <w:unhideWhenUsed/>
    <w:qFormat/>
    <w:uiPriority w:val="0"/>
    <w:pPr>
      <w:keepNext w:val="0"/>
      <w:keepLines w:val="0"/>
      <w:widowControl w:val="0"/>
      <w:adjustRightInd w:val="0"/>
      <w:spacing w:line="240" w:lineRule="auto"/>
      <w:ind w:firstLine="632" w:firstLineChars="200"/>
      <w:jc w:val="both"/>
      <w:textAlignment w:val="baseline"/>
      <w:outlineLvl w:val="1"/>
    </w:pPr>
    <w:rPr>
      <w:rFonts w:ascii="Times New Roman" w:hAnsi="Times New Roman" w:eastAsia="方正黑体_GBK" w:cs="Times New Roman"/>
      <w:sz w:val="32"/>
      <w:szCs w:val="32"/>
      <w:lang w:val="en-US" w:eastAsia="zh-CN" w:bidi="ar-SA"/>
    </w:rPr>
  </w:style>
  <w:style w:type="paragraph" w:styleId="5">
    <w:name w:val="heading 3"/>
    <w:next w:val="1"/>
    <w:unhideWhenUsed/>
    <w:qFormat/>
    <w:uiPriority w:val="0"/>
    <w:pPr>
      <w:widowControl w:val="0"/>
      <w:adjustRightInd w:val="0"/>
      <w:spacing w:beforeAutospacing="0" w:afterAutospacing="0" w:line="312" w:lineRule="atLeast"/>
      <w:ind w:firstLine="632" w:firstLineChars="200"/>
      <w:jc w:val="left"/>
      <w:textAlignment w:val="baseline"/>
      <w:outlineLvl w:val="2"/>
    </w:pPr>
    <w:rPr>
      <w:rFonts w:ascii="Times New Roman" w:hAnsi="Times New Roman" w:eastAsia="方正楷体_GBK" w:cs="Times New Roman"/>
      <w:kern w:val="0"/>
      <w:sz w:val="32"/>
      <w:szCs w:val="32"/>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ToCaption"/>
    <w:next w:val="1"/>
    <w:qFormat/>
    <w:uiPriority w:val="0"/>
    <w:pPr>
      <w:widowControl w:val="0"/>
      <w:spacing w:after="200" w:afterLines="0" w:line="276" w:lineRule="auto"/>
      <w:ind w:left="200" w:leftChars="200" w:hanging="200" w:hangingChars="200"/>
      <w:jc w:val="left"/>
    </w:pPr>
    <w:rPr>
      <w:rFonts w:ascii="Times New Roman" w:hAnsi="Times New Roman" w:eastAsia="宋体" w:cs="Times New Roman"/>
      <w:kern w:val="0"/>
      <w:sz w:val="22"/>
      <w:szCs w:val="24"/>
      <w:lang w:val="en-US" w:eastAsia="en-US" w:bidi="ar-SA"/>
    </w:rPr>
  </w:style>
  <w:style w:type="paragraph" w:styleId="6">
    <w:name w:val="footer"/>
    <w:qFormat/>
    <w:uiPriority w:val="0"/>
    <w:pPr>
      <w:widowControl w:val="0"/>
      <w:tabs>
        <w:tab w:val="center" w:pos="4153"/>
        <w:tab w:val="right" w:pos="8306"/>
      </w:tabs>
      <w:adjustRightInd w:val="0"/>
      <w:snapToGrid w:val="0"/>
      <w:spacing w:line="312" w:lineRule="atLeast"/>
      <w:jc w:val="left"/>
      <w:textAlignment w:val="baseline"/>
    </w:pPr>
    <w:rPr>
      <w:rFonts w:ascii="Times New Roman" w:hAnsi="Times New Roman" w:eastAsia="方正仿宋_GBK" w:cs="Times New Roman"/>
      <w:sz w:val="18"/>
      <w:szCs w:val="32"/>
      <w:lang w:val="en-US" w:eastAsia="zh-CN" w:bidi="ar-SA"/>
    </w:rPr>
  </w:style>
  <w:style w:type="paragraph" w:styleId="7">
    <w:name w:val="header"/>
    <w:next w:val="6"/>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240" w:lineRule="auto"/>
      <w:jc w:val="right"/>
      <w:textAlignment w:val="baseline"/>
      <w:outlineLvl w:val="9"/>
    </w:pPr>
    <w:rPr>
      <w:rFonts w:ascii="Times New Roman" w:hAnsi="Times New Roman" w:eastAsia="方正仿宋_GBK" w:cs="Times New Roman"/>
      <w:sz w:val="28"/>
      <w:szCs w:val="32"/>
      <w:lang w:val="en-US" w:eastAsia="zh-CN" w:bidi="ar-SA"/>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19708</Words>
  <Characters>19850</Characters>
  <Lines>0</Lines>
  <Paragraphs>0</Paragraphs>
  <TotalTime>1</TotalTime>
  <ScaleCrop>false</ScaleCrop>
  <LinksUpToDate>false</LinksUpToDate>
  <CharactersWithSpaces>19887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2026-08-20T02:13:00Z</dcterms:created>
  <dc:creator>王鑫</dc:creator>
  <cp:lastModifiedBy>哆啦美</cp:lastModifiedBy>
  <dcterms:modified xsi:type="dcterms:W3CDTF">2026-08-31T07:08:37Z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677A70F02D4E4FEFAB63ED37DC28D9D5_11</vt:lpwstr>
  </property>
  <property fmtid="{D5CDD505-2E9C-101B-9397-08002B2CF9AE}" pid="4" name="KSOTemplateDocerSaveRecord">
    <vt:lpwstr>eyJoZGlkIjoiNWU2NzBhNzIyY2NhODRkMzdhMzAxNGJiYzUzNTk4OTUiLCJ1c2VySWQiOiIzMTEwNDY2NzgifQ==</vt:lpwstr>
  </property>
</Properties>
</file>