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200973">
      <w:pPr>
        <w:keepNext w:val="0"/>
        <w:keepLines w:val="0"/>
        <w:pageBreakBefore w:val="0"/>
        <w:widowControl w:val="0"/>
        <w:kinsoku/>
        <w:wordWrap/>
        <w:overflowPunct/>
        <w:topLinePunct w:val="0"/>
        <w:autoSpaceDE/>
        <w:autoSpaceDN/>
        <w:bidi w:val="0"/>
        <w:adjustRightInd/>
        <w:snapToGrid/>
        <w:jc w:val="center"/>
        <w:textAlignment w:val="auto"/>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rPr>
        <w:t>重庆市人民政府关于印发《重庆市“十五五”教育科技人才一体发展规划（2026—2030年）》的通知</w:t>
      </w:r>
    </w:p>
    <w:p w14:paraId="48504617">
      <w:pPr>
        <w:keepNext w:val="0"/>
        <w:keepLines w:val="0"/>
        <w:pageBreakBefore w:val="0"/>
        <w:widowControl w:val="0"/>
        <w:kinsoku/>
        <w:wordWrap/>
        <w:overflowPunct/>
        <w:topLinePunct w:val="0"/>
        <w:autoSpaceDE/>
        <w:autoSpaceDN/>
        <w:bidi w:val="0"/>
        <w:adjustRightInd/>
        <w:snapToGrid/>
        <w:jc w:val="center"/>
        <w:textAlignment w:val="auto"/>
        <w:rPr>
          <w:rFonts w:hint="eastAsia" w:ascii="方正仿宋_GBK" w:hAnsi="方正仿宋_GBK" w:eastAsia="方正仿宋_GBK" w:cs="方正仿宋_GBK"/>
          <w:sz w:val="28"/>
          <w:szCs w:val="28"/>
        </w:rPr>
      </w:pPr>
    </w:p>
    <w:p w14:paraId="50724B2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重庆市人民政府关于</w:t>
      </w:r>
    </w:p>
    <w:p w14:paraId="3F5668F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印发《重庆市“十五五”教育科技人才</w:t>
      </w:r>
    </w:p>
    <w:p w14:paraId="17DE0BA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一体发展规划（2026—2030年）》的通知</w:t>
      </w:r>
    </w:p>
    <w:p w14:paraId="6E05364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渝府发〔2026〕</w:t>
      </w:r>
      <w:bookmarkStart w:id="0" w:name="_GoBack"/>
      <w:bookmarkEnd w:id="0"/>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21号</w:t>
      </w:r>
    </w:p>
    <w:p w14:paraId="30DD7DA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Times New Roman" w:hAnsi="Times New Roman" w:eastAsia="方正仿宋_GBK" w:cs="宋体"/>
          <w:i w:val="0"/>
          <w:iCs w:val="0"/>
          <w:caps w:val="0"/>
          <w:color w:val="000000"/>
          <w:spacing w:val="0"/>
          <w:kern w:val="0"/>
          <w:sz w:val="28"/>
          <w:szCs w:val="28"/>
          <w:lang w:val="en-US" w:eastAsia="zh-CN" w:bidi="ar"/>
        </w:rPr>
      </w:pPr>
    </w:p>
    <w:p w14:paraId="3A5AB90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各区县（自治县）人民政府，市政府各部门，有关单位：</w:t>
      </w:r>
    </w:p>
    <w:p w14:paraId="3D6B0F2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30"/>
        <w:jc w:val="both"/>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现将《重庆市“十五五”教育科技人才一体发展规划（2026—2030年）》印发给你们，请认真贯彻执行。</w:t>
      </w:r>
    </w:p>
    <w:p w14:paraId="17334FD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30"/>
        <w:jc w:val="both"/>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p>
    <w:p w14:paraId="00ABCA5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right"/>
        <w:textAlignment w:val="auto"/>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重庆市人民政府</w:t>
      </w:r>
    </w:p>
    <w:p w14:paraId="233EFA3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right"/>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2026年8月3日</w:t>
      </w:r>
    </w:p>
    <w:p w14:paraId="06B1984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30"/>
        <w:jc w:val="both"/>
        <w:textAlignment w:val="auto"/>
        <w:rPr>
          <w:rFonts w:hint="eastAsia" w:ascii="Times New Roman" w:hAnsi="Times New Roman" w:eastAsia="方正仿宋_GBK" w:cs="宋体"/>
          <w:i w:val="0"/>
          <w:iCs w:val="0"/>
          <w:caps w:val="0"/>
          <w:color w:val="000000"/>
          <w:spacing w:val="0"/>
          <w:kern w:val="0"/>
          <w:sz w:val="28"/>
          <w:szCs w:val="28"/>
          <w:lang w:val="en-US" w:eastAsia="zh-CN" w:bidi="ar"/>
        </w:rPr>
      </w:pPr>
    </w:p>
    <w:p w14:paraId="7E1C96A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30"/>
        <w:jc w:val="both"/>
        <w:textAlignment w:val="auto"/>
        <w:rPr>
          <w:rFonts w:hint="eastAsia" w:ascii="Times New Roman" w:hAnsi="Times New Roman" w:eastAsia="方正仿宋_GBK" w:cs="宋体"/>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（本文有删减）</w:t>
      </w:r>
    </w:p>
    <w:p w14:paraId="37CCD8F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30"/>
        <w:jc w:val="both"/>
        <w:textAlignment w:val="auto"/>
        <w:rPr>
          <w:rFonts w:hint="eastAsia" w:ascii="Times New Roman" w:hAnsi="Times New Roman" w:eastAsia="方正仿宋_GBK" w:cs="宋体"/>
          <w:i w:val="0"/>
          <w:iCs w:val="0"/>
          <w:caps w:val="0"/>
          <w:color w:val="000000"/>
          <w:spacing w:val="0"/>
          <w:kern w:val="0"/>
          <w:sz w:val="28"/>
          <w:szCs w:val="28"/>
          <w:lang w:val="en-US" w:eastAsia="zh-CN" w:bidi="ar"/>
        </w:rPr>
      </w:pPr>
    </w:p>
    <w:p w14:paraId="20427FE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重庆市“十五五”教育科技人才一体发展规划</w:t>
      </w:r>
    </w:p>
    <w:p w14:paraId="549DFDA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（2026—2030年）</w:t>
      </w:r>
    </w:p>
    <w:p w14:paraId="2370C3F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30"/>
        <w:jc w:val="both"/>
        <w:textAlignment w:val="auto"/>
        <w:rPr>
          <w:rFonts w:hint="eastAsia" w:ascii="Times New Roman" w:hAnsi="Times New Roman" w:eastAsia="方正仿宋_GBK" w:cs="宋体"/>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为加快推进教育科技人才一体发展，根据国家有关规划和《重庆市国民经济和社会发展第十五个五年规划纲要》（渝府发〔2026〕7号）等文件精神，制定本规划。</w:t>
      </w:r>
    </w:p>
    <w:p w14:paraId="3A6BBC9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30"/>
        <w:jc w:val="both"/>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一、总体要求</w:t>
      </w:r>
    </w:p>
    <w:p w14:paraId="528D504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30"/>
        <w:jc w:val="both"/>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坚持以习近平新时代中国特色社会主义思想为指导，全面贯彻党的二十大和二十届历次全会精神，深入贯彻习近平总书记视察重庆重要讲话重要指示精神，聚焦做实“两大定位”、发挥“三个作用”，坚持教育优先发展、科技自立自强、人才引领驱动，锚定建设成渝地区区域科技创新中心目标，以服务国家重大战略、支撑区域高质量发展为主题，以推动科技创新和产业创新深度融合、构建现代化产业体系为主线，统筹推进教育科技人才一体发展，奋力建设创新强市，为谱写中国式现代化重庆篇章提供强劲动力和坚实支撑。</w:t>
      </w:r>
    </w:p>
    <w:p w14:paraId="66703FD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30"/>
        <w:jc w:val="both"/>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到2030年，基本建成创新强市，成渝地区区域科技创新中心建设取得突破性进展，成为科技强国建设重要战略支点。教育科技人才一体改革取得重大突破，教育科技人才一体发展格局基本形成，协同联动效能全面增强，政策协同、资源统筹、评价联动效应更加凸显，制约教育科技人才一体发展的制度性障碍加速突破，“热带雨林”式创新生态不断优化，制度型开放创新的枢纽综合效能充分彰显，创新治理体系和治理能力现代化基本实现。教育对区域高质量发展贡献度显著提升，“158N”教育强市建设全面推进，高质量教育体系不断完善，高等教育区域布局、学科结构、专业设置更加科学合理，“双一流”建设入选高校、学科取得新突破，教育综合实力迈入全国第一梯队。市域科技创新体系效能整体跃升，科技创新集聚效应凸显，以四大重庆实验室为引领的高能级科创平台成为引领科技攻关的中坚力量，“416”科技创新布局实现集中突破，产出一批重大原创性、标志性、引领性科技创新成果，支撑引领主导产业巩固提升、新兴产业发展壮大、未来产业成型起势，综合科技创新水平进入全国科技创新版图第一方阵。高水平科技人才培养和集聚能力明显增强，“近悦远来”的人才发展环境加快形成，人才政策供给更加完善，汇聚一批科技领军人才、卓越工程师、大国工匠、优秀青年人才、高技能人才，造就一支规模宏大、结构合理、素质优良的人才队伍。</w:t>
      </w:r>
    </w:p>
    <w:p w14:paraId="36BD959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专栏1  “十五五”教育科技人才一体发展主要指标</w:t>
      </w:r>
    </w:p>
    <w:tbl>
      <w:tblPr>
        <w:tblStyle w:val="2"/>
        <w:tblW w:w="10875" w:type="dxa"/>
        <w:jc w:val="center"/>
        <w:tblBorders>
          <w:top w:val="single" w:color="DDDDDD" w:sz="6" w:space="0"/>
          <w:left w:val="single" w:color="DDDDDD" w:sz="6" w:space="0"/>
          <w:bottom w:val="single" w:color="DDDDDD" w:sz="6" w:space="0"/>
          <w:right w:val="single" w:color="DDDDDD"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695"/>
        <w:gridCol w:w="6003"/>
        <w:gridCol w:w="960"/>
        <w:gridCol w:w="1056"/>
        <w:gridCol w:w="1200"/>
        <w:gridCol w:w="961"/>
      </w:tblGrid>
      <w:tr w14:paraId="24DEBBCC">
        <w:tblPrEx>
          <w:tblBorders>
            <w:top w:val="single" w:color="DDDDDD" w:sz="6" w:space="0"/>
            <w:left w:val="single" w:color="DDDDDD" w:sz="6" w:space="0"/>
            <w:bottom w:val="single" w:color="DDDDDD" w:sz="6" w:space="0"/>
            <w:right w:val="single" w:color="DDDDDD" w:sz="6" w:space="0"/>
            <w:insideH w:val="outset" w:color="auto" w:sz="6" w:space="0"/>
            <w:insideV w:val="outset" w:color="auto" w:sz="6" w:space="0"/>
          </w:tblBorders>
          <w:shd w:val="clear" w:color="auto" w:fill="auto"/>
        </w:tblPrEx>
        <w:trPr>
          <w:trHeight w:val="900" w:hRule="atLeast"/>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66BD712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序号</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4FB4AA1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指    标</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10AB1BD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单位</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2AD7962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2025年</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09BBB56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2030年</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67B9B40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属性</w:t>
            </w:r>
          </w:p>
        </w:tc>
      </w:tr>
      <w:tr w14:paraId="66BB45A4">
        <w:tblPrEx>
          <w:tblBorders>
            <w:top w:val="single" w:color="DDDDDD" w:sz="6" w:space="0"/>
            <w:left w:val="single" w:color="DDDDDD" w:sz="6" w:space="0"/>
            <w:bottom w:val="single" w:color="DDDDDD" w:sz="6" w:space="0"/>
            <w:right w:val="single" w:color="DDDDDD" w:sz="6" w:space="0"/>
            <w:insideH w:val="outset" w:color="auto" w:sz="6" w:space="0"/>
            <w:insideV w:val="outset" w:color="auto" w:sz="6" w:space="0"/>
          </w:tblBorders>
          <w:tblCellMar>
            <w:top w:w="0" w:type="dxa"/>
            <w:left w:w="0" w:type="dxa"/>
            <w:bottom w:w="0" w:type="dxa"/>
            <w:right w:w="0" w:type="dxa"/>
          </w:tblCellMar>
        </w:tblPrEx>
        <w:trPr>
          <w:trHeight w:val="799" w:hRule="atLeast"/>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43AEB75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329AE74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全社会研发经费投入强度</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4BD36CB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2F9A110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2.54*</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7A765C0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3.25</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3E4337D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预期性</w:t>
            </w:r>
          </w:p>
        </w:tc>
      </w:tr>
      <w:tr w14:paraId="4A7EE0FF">
        <w:tblPrEx>
          <w:tblBorders>
            <w:top w:val="single" w:color="DDDDDD" w:sz="6" w:space="0"/>
            <w:left w:val="single" w:color="DDDDDD" w:sz="6" w:space="0"/>
            <w:bottom w:val="single" w:color="DDDDDD" w:sz="6" w:space="0"/>
            <w:right w:val="single" w:color="DDDDDD" w:sz="6" w:space="0"/>
            <w:insideH w:val="outset" w:color="auto" w:sz="6" w:space="0"/>
            <w:insideV w:val="outset" w:color="auto" w:sz="6" w:space="0"/>
          </w:tblBorders>
          <w:tblCellMar>
            <w:top w:w="0" w:type="dxa"/>
            <w:left w:w="0" w:type="dxa"/>
            <w:bottom w:w="0" w:type="dxa"/>
            <w:right w:w="0"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7C11557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5EF4FAA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基础研究经费占全社会研发经费比重</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71B450F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0E49752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6*</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5AC0292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12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2ECAE7B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预期性</w:t>
            </w:r>
          </w:p>
        </w:tc>
      </w:tr>
      <w:tr w14:paraId="0DF6EA15">
        <w:tblPrEx>
          <w:tblBorders>
            <w:top w:val="single" w:color="DDDDDD" w:sz="6" w:space="0"/>
            <w:left w:val="single" w:color="DDDDDD" w:sz="6" w:space="0"/>
            <w:bottom w:val="single" w:color="DDDDDD" w:sz="6" w:space="0"/>
            <w:right w:val="single" w:color="DDDDDD" w:sz="6" w:space="0"/>
            <w:insideH w:val="outset" w:color="auto" w:sz="6" w:space="0"/>
            <w:insideV w:val="outset" w:color="auto" w:sz="6" w:space="0"/>
          </w:tblBorders>
          <w:shd w:val="clear" w:color="auto" w:fill="auto"/>
          <w:tblCellMar>
            <w:top w:w="0" w:type="dxa"/>
            <w:left w:w="0" w:type="dxa"/>
            <w:bottom w:w="0" w:type="dxa"/>
            <w:right w:w="0"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414E0A6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3</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22C6A6B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国家级科技创新平台基地数量</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0855BEC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个</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3909C35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33</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6A4FAB1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50</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22AEF5B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预期性</w:t>
            </w:r>
          </w:p>
        </w:tc>
      </w:tr>
      <w:tr w14:paraId="61F2FE98">
        <w:tblPrEx>
          <w:tblBorders>
            <w:top w:val="single" w:color="DDDDDD" w:sz="6" w:space="0"/>
            <w:left w:val="single" w:color="DDDDDD" w:sz="6" w:space="0"/>
            <w:bottom w:val="single" w:color="DDDDDD" w:sz="6" w:space="0"/>
            <w:right w:val="single" w:color="DDDDDD"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83" w:hRule="atLeast"/>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3741C55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4</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1AB4605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数字经济核心产业增加值占地区生产总值比重</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3664CEB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31846CF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≥10*</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347495A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13</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507BD46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预期性</w:t>
            </w:r>
          </w:p>
        </w:tc>
      </w:tr>
      <w:tr w14:paraId="5791CAFF">
        <w:tblPrEx>
          <w:tblBorders>
            <w:top w:val="single" w:color="DDDDDD" w:sz="6" w:space="0"/>
            <w:left w:val="single" w:color="DDDDDD" w:sz="6" w:space="0"/>
            <w:bottom w:val="single" w:color="DDDDDD" w:sz="6" w:space="0"/>
            <w:right w:val="single" w:color="DDDDDD" w:sz="6" w:space="0"/>
            <w:insideH w:val="outset" w:color="auto" w:sz="6" w:space="0"/>
            <w:insideV w:val="outset" w:color="auto" w:sz="6" w:space="0"/>
          </w:tblBorders>
          <w:shd w:val="clear" w:color="auto" w:fill="auto"/>
          <w:tblCellMar>
            <w:top w:w="0" w:type="dxa"/>
            <w:left w:w="0" w:type="dxa"/>
            <w:bottom w:w="0" w:type="dxa"/>
            <w:right w:w="0"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1779655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5</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2B48A50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战略性新兴产业增加值占规模以上工业增加值比重</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79BD1A3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2BBE1C3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36.3</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4FBF4FE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39左右</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02088CB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预期性</w:t>
            </w:r>
          </w:p>
        </w:tc>
      </w:tr>
      <w:tr w14:paraId="5A05446A">
        <w:tblPrEx>
          <w:tblBorders>
            <w:top w:val="single" w:color="DDDDDD" w:sz="6" w:space="0"/>
            <w:left w:val="single" w:color="DDDDDD" w:sz="6" w:space="0"/>
            <w:bottom w:val="single" w:color="DDDDDD" w:sz="6" w:space="0"/>
            <w:right w:val="single" w:color="DDDDDD" w:sz="6" w:space="0"/>
            <w:insideH w:val="outset" w:color="auto" w:sz="6" w:space="0"/>
            <w:insideV w:val="outset" w:color="auto" w:sz="6" w:space="0"/>
          </w:tblBorders>
          <w:shd w:val="clear" w:color="auto" w:fill="auto"/>
          <w:tblCellMar>
            <w:top w:w="0" w:type="dxa"/>
            <w:left w:w="0" w:type="dxa"/>
            <w:bottom w:w="0" w:type="dxa"/>
            <w:right w:w="0"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40ACB35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6</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62EC9AD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产业创新综合体数量</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102D76C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个</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32895A4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30</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3690A29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60</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711DF41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预期性</w:t>
            </w:r>
          </w:p>
        </w:tc>
      </w:tr>
      <w:tr w14:paraId="2C5BF2C6">
        <w:tblPrEx>
          <w:tblBorders>
            <w:top w:val="single" w:color="DDDDDD" w:sz="6" w:space="0"/>
            <w:left w:val="single" w:color="DDDDDD" w:sz="6" w:space="0"/>
            <w:bottom w:val="single" w:color="DDDDDD" w:sz="6" w:space="0"/>
            <w:right w:val="single" w:color="DDDDDD" w:sz="6" w:space="0"/>
            <w:insideH w:val="outset" w:color="auto" w:sz="6" w:space="0"/>
            <w:insideV w:val="outset" w:color="auto" w:sz="6" w:space="0"/>
          </w:tblBorders>
          <w:shd w:val="clear" w:color="auto" w:fill="auto"/>
          <w:tblCellMar>
            <w:top w:w="0" w:type="dxa"/>
            <w:left w:w="0" w:type="dxa"/>
            <w:bottom w:w="0" w:type="dxa"/>
            <w:right w:w="0"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4FAA0DC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7</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6596768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市域产教联合体数量</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465C160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个</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218043D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36</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10581EC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41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59B5540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预期性</w:t>
            </w:r>
          </w:p>
        </w:tc>
      </w:tr>
      <w:tr w14:paraId="267544DC">
        <w:tblPrEx>
          <w:tblBorders>
            <w:top w:val="single" w:color="DDDDDD" w:sz="6" w:space="0"/>
            <w:left w:val="single" w:color="DDDDDD" w:sz="6" w:space="0"/>
            <w:bottom w:val="single" w:color="DDDDDD" w:sz="6" w:space="0"/>
            <w:right w:val="single" w:color="DDDDDD" w:sz="6" w:space="0"/>
            <w:insideH w:val="outset" w:color="auto" w:sz="6" w:space="0"/>
            <w:insideV w:val="outset" w:color="auto" w:sz="6" w:space="0"/>
          </w:tblBorders>
          <w:tblCellMar>
            <w:top w:w="0" w:type="dxa"/>
            <w:left w:w="0" w:type="dxa"/>
            <w:bottom w:w="0" w:type="dxa"/>
            <w:right w:w="0"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36ACD9B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8</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1A5E584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每万家规模以上企业法人中高新技术企业数</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39BF6EC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家</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4871EE3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1581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3DC6BA6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1660</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133A93D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预期性</w:t>
            </w:r>
          </w:p>
        </w:tc>
      </w:tr>
      <w:tr w14:paraId="4E8C5950">
        <w:tblPrEx>
          <w:tblBorders>
            <w:top w:val="single" w:color="DDDDDD" w:sz="6" w:space="0"/>
            <w:left w:val="single" w:color="DDDDDD" w:sz="6" w:space="0"/>
            <w:bottom w:val="single" w:color="DDDDDD" w:sz="6" w:space="0"/>
            <w:right w:val="single" w:color="DDDDDD" w:sz="6" w:space="0"/>
            <w:insideH w:val="outset" w:color="auto" w:sz="6" w:space="0"/>
            <w:insideV w:val="outset" w:color="auto" w:sz="6" w:space="0"/>
          </w:tblBorders>
          <w:shd w:val="clear" w:color="auto" w:fill="auto"/>
          <w:tblCellMar>
            <w:top w:w="0" w:type="dxa"/>
            <w:left w:w="0" w:type="dxa"/>
            <w:bottom w:w="0" w:type="dxa"/>
            <w:right w:w="0"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336AB90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9</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57D6628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每万人口高价值发明专利拥有量</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5E7F355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件</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20263FE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10.37</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4A9178F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18</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0329518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预期性</w:t>
            </w:r>
          </w:p>
        </w:tc>
      </w:tr>
      <w:tr w14:paraId="1350FBA2">
        <w:tblPrEx>
          <w:tblBorders>
            <w:top w:val="single" w:color="DDDDDD" w:sz="6" w:space="0"/>
            <w:left w:val="single" w:color="DDDDDD" w:sz="6" w:space="0"/>
            <w:bottom w:val="single" w:color="DDDDDD" w:sz="6" w:space="0"/>
            <w:right w:val="single" w:color="DDDDDD" w:sz="6" w:space="0"/>
            <w:insideH w:val="outset" w:color="auto" w:sz="6" w:space="0"/>
            <w:insideV w:val="outset" w:color="auto" w:sz="6" w:space="0"/>
          </w:tblBorders>
          <w:tblCellMar>
            <w:top w:w="0" w:type="dxa"/>
            <w:left w:w="0" w:type="dxa"/>
            <w:bottom w:w="0" w:type="dxa"/>
            <w:right w:w="0"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441DB96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10</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0B4A958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技术合同成交额</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4DEA556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亿元</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0FDC883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1141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06F051C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1600</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22302A5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预期性</w:t>
            </w:r>
          </w:p>
        </w:tc>
      </w:tr>
      <w:tr w14:paraId="026C59B8">
        <w:tblPrEx>
          <w:tblBorders>
            <w:top w:val="single" w:color="DDDDDD" w:sz="6" w:space="0"/>
            <w:left w:val="single" w:color="DDDDDD" w:sz="6" w:space="0"/>
            <w:bottom w:val="single" w:color="DDDDDD" w:sz="6" w:space="0"/>
            <w:right w:val="single" w:color="DDDDDD" w:sz="6" w:space="0"/>
            <w:insideH w:val="outset" w:color="auto" w:sz="6" w:space="0"/>
            <w:insideV w:val="outset" w:color="auto" w:sz="6" w:space="0"/>
          </w:tblBorders>
          <w:shd w:val="clear" w:color="auto" w:fill="auto"/>
          <w:tblCellMar>
            <w:top w:w="0" w:type="dxa"/>
            <w:left w:w="0" w:type="dxa"/>
            <w:bottom w:w="0" w:type="dxa"/>
            <w:right w:w="0"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77A220C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11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2F5F8C6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本科及以上理工农医类毕业生占比</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7241805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4DF0916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53.2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35784C4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60</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37596AC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预期性</w:t>
            </w:r>
          </w:p>
        </w:tc>
      </w:tr>
      <w:tr w14:paraId="7CCCCD2E">
        <w:tblPrEx>
          <w:tblBorders>
            <w:top w:val="single" w:color="DDDDDD" w:sz="6" w:space="0"/>
            <w:left w:val="single" w:color="DDDDDD" w:sz="6" w:space="0"/>
            <w:bottom w:val="single" w:color="DDDDDD" w:sz="6" w:space="0"/>
            <w:right w:val="single" w:color="DDDDDD" w:sz="6" w:space="0"/>
            <w:insideH w:val="outset" w:color="auto" w:sz="6" w:space="0"/>
            <w:insideV w:val="outset" w:color="auto" w:sz="6" w:space="0"/>
          </w:tblBorders>
          <w:tblCellMar>
            <w:top w:w="0" w:type="dxa"/>
            <w:left w:w="0" w:type="dxa"/>
            <w:bottom w:w="0" w:type="dxa"/>
            <w:right w:w="0"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2074236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12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78E78A6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新增取得高级工以上职业技能等级证书的人次数</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78AFEB6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万人次</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18DE574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【32】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2D34269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【32.5】</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25DA641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预期性</w:t>
            </w:r>
          </w:p>
        </w:tc>
      </w:tr>
      <w:tr w14:paraId="7A1143F3">
        <w:tblPrEx>
          <w:tblBorders>
            <w:top w:val="single" w:color="DDDDDD" w:sz="6" w:space="0"/>
            <w:left w:val="single" w:color="DDDDDD" w:sz="6" w:space="0"/>
            <w:bottom w:val="single" w:color="DDDDDD" w:sz="6" w:space="0"/>
            <w:right w:val="single" w:color="DDDDDD"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1000" w:hRule="atLeast"/>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46ABC92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13</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2D1D708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全社会研发人员</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451A020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万人</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0304C02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26*</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50D5A08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35</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081F949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预期性</w:t>
            </w:r>
          </w:p>
        </w:tc>
      </w:tr>
      <w:tr w14:paraId="7F302879">
        <w:tblPrEx>
          <w:tblBorders>
            <w:top w:val="single" w:color="DDDDDD" w:sz="6" w:space="0"/>
            <w:left w:val="single" w:color="DDDDDD" w:sz="6" w:space="0"/>
            <w:bottom w:val="single" w:color="DDDDDD" w:sz="6" w:space="0"/>
            <w:right w:val="single" w:color="DDDDDD" w:sz="6" w:space="0"/>
            <w:insideH w:val="outset" w:color="auto" w:sz="6" w:space="0"/>
            <w:insideV w:val="outset" w:color="auto" w:sz="6" w:space="0"/>
          </w:tblBorders>
          <w:shd w:val="clear" w:color="auto" w:fill="auto"/>
          <w:tblCellMar>
            <w:top w:w="0" w:type="dxa"/>
            <w:left w:w="0" w:type="dxa"/>
            <w:bottom w:w="0" w:type="dxa"/>
            <w:right w:w="0"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20CB993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14</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65A84AE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公民具备科学素质的比例</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76B0D61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6F9B453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16.2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5392B5E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22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18A4D56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预期性</w:t>
            </w:r>
          </w:p>
        </w:tc>
      </w:tr>
    </w:tbl>
    <w:p w14:paraId="6076596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jc w:val="left"/>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注：1．“*”表示预计数。</w:t>
      </w:r>
    </w:p>
    <w:p w14:paraId="37F21FD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jc w:val="both"/>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2．“【】”表示规划期内累计值。</w:t>
      </w:r>
    </w:p>
    <w:p w14:paraId="6E6F4BF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jc w:val="both"/>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3．所列指标均为预期性目标，仅作发展方向引导，不构成对相关行业市场准入的总量限制。</w:t>
      </w:r>
    </w:p>
    <w:p w14:paraId="0030777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30"/>
        <w:jc w:val="both"/>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到2035年，成渝地区区域科技创新中心全面建成，科技实力和创新能力居全国前列，重庆在西部地区的辐射带动力、区域影响力、引领支撑力和综合竞争力全面提升，更好支撑打造全国高质量发展重要增长极和新的动力源。</w:t>
      </w:r>
    </w:p>
    <w:p w14:paraId="5787C62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30"/>
        <w:jc w:val="both"/>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二、重点任务</w:t>
      </w:r>
    </w:p>
    <w:p w14:paraId="1CF946F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30"/>
        <w:jc w:val="both"/>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（一）引领现代化产业体系建设</w:t>
      </w:r>
    </w:p>
    <w:p w14:paraId="641FE0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30"/>
        <w:jc w:val="both"/>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1．打造四大创新策源地。坚持“四个面向”战略导向，迭代升级“416”科技创新布局，加快打造数智科技、生命健康、新材料、绿色低碳四大创新策源地。聚焦16个重点领域，完善“领军人物+支撑平台+核心技术+标志成果”攻关机制，重点突破人工智能、智能制造、先进计算与新型软件、高分子与复合材料、精准医疗、高端装备材料、新能源与新型储能、生物制造等8个优势领域，梯度培育网络通信、创新药物、现代农业、绿色建造、资源再生利用、生态保护与修复、新型生物材料、先进光电与量子材料等8个潜力领域，突破一批关键核心技术、产出一批重要创新成果。实施新技术新产品新场景大规模应用示范行动，建设国家人工智能应用中试基地（人力资源服务方向），建成现代化人力资源效能中心。聚焦低空空域管理、“车路云网图”一体化、智慧铁海联运、生物能源等打造一批新领域新赛道应用场景，培育发展新质生产力。</w:t>
      </w:r>
    </w:p>
    <w:p w14:paraId="5EB589D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专栏2  四大创新策源地</w:t>
      </w:r>
    </w:p>
    <w:tbl>
      <w:tblPr>
        <w:tblStyle w:val="2"/>
        <w:tblW w:w="10875" w:type="dxa"/>
        <w:jc w:val="center"/>
        <w:tblBorders>
          <w:top w:val="single" w:color="DDDDDD" w:sz="6" w:space="0"/>
          <w:left w:val="single" w:color="DDDDDD" w:sz="6" w:space="0"/>
          <w:bottom w:val="single" w:color="DDDDDD" w:sz="6" w:space="0"/>
          <w:right w:val="single" w:color="DDDDDD"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10875"/>
      </w:tblGrid>
      <w:tr w14:paraId="0F18A2CB">
        <w:tblPrEx>
          <w:tblBorders>
            <w:top w:val="single" w:color="DDDDDD" w:sz="6" w:space="0"/>
            <w:left w:val="single" w:color="DDDDDD" w:sz="6" w:space="0"/>
            <w:bottom w:val="single" w:color="DDDDDD" w:sz="6" w:space="0"/>
            <w:right w:val="single" w:color="DDDDDD" w:sz="6" w:space="0"/>
            <w:insideH w:val="outset" w:color="auto" w:sz="6" w:space="0"/>
            <w:insideV w:val="outset" w:color="auto" w:sz="6" w:space="0"/>
          </w:tblBorders>
          <w:shd w:val="clear" w:color="auto" w:fill="auto"/>
          <w:tblCellMar>
            <w:top w:w="0" w:type="dxa"/>
            <w:left w:w="0" w:type="dxa"/>
            <w:bottom w:w="0" w:type="dxa"/>
            <w:right w:w="0" w:type="dxa"/>
          </w:tblCellMar>
        </w:tblPrEx>
        <w:trPr>
          <w:jc w:val="center"/>
        </w:trPr>
        <w:tc>
          <w:tcPr>
            <w:tcW w:w="10860" w:type="dxa"/>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1078F16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1．数智科技。聚焦人工智能、先进计算与新型软件、网络通信、智能制造4个重点领域，构建“技术研发—成果转化—产业赋能”闭环式产业技术创新体系，加速突破通用人工智能、具身智能、第六代移动通信等战略技术。以人工智能技术深度赋能各行业智能化升级，推动产业数字化转型和数字产业化发展，打造“人工智能+科研”“人工智能+制造”“人工智能+教育”“人工智能+超大城市治理”“人工智能+国家安全”等应用场景，推动数字经济产业向价值链高端跃升。</w:t>
            </w:r>
          </w:p>
          <w:p w14:paraId="2B56985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2．生命健康。聚焦创新药物、精准医疗、生物制造、现代农业4个重点领域，持续增强药物靶点筛选、生物反应器、作物抗逆境、地方种猪资源保护等基础研究领域的原始创新能力，全链条推动智慧病理、核酸药物设计与合成、细胞工厂构建、植物传感器等关键核心技术攻关，深入探索脑机接口、免疫力解码、基因编辑、异种器官移植、细胞治疗、类器官构建、生物三维打印、无细胞合成系统等前沿颠覆性技术，引领支撑生命健康产业高质量发展。</w:t>
            </w:r>
          </w:p>
          <w:p w14:paraId="3DC8138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3．新材料。聚焦高端装备材料、先进光电与量子材料、高分子与复合材料、新型生物材料4个重点领域，全链条推动高温高强合金材料成分设计与制备技术、新一代超低介电玻璃纤维和超细玻璃纤维制备、车规级半导体材料快速成型与封装、MOFs（金属有机骨架材料）位点调控高效过滤技术等关键核心技术攻关，构筑多尺度、跨维度的精准结构与功能材料体系，引领合金材料、合成材料、复合材料等先进材料产业集群创新发展。</w:t>
            </w:r>
          </w:p>
          <w:p w14:paraId="297AA16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jc w:val="left"/>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4．绿色低碳。聚焦新能源与新型储能、生态保护与修复、资源再生利用、绿色建造4个重点领域，巩固提升高能量密度锂电池、电解水制氢、再生塑料提纯、氢能储运、二氧化碳捕集利用与封存、流域生态治理等技术，增强镁离子电池、电—氢耦合系统、水资源优化配置、光伏转换效率优化等技术研发能力，全链条推动下一代固态电池与超级充电、三峡库区空天地监测预警与环境修复等关键核心技术攻关，推动智能绿色能源装备、智联电动车等产业加速发展。</w:t>
            </w:r>
          </w:p>
        </w:tc>
      </w:tr>
    </w:tbl>
    <w:p w14:paraId="053F276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jc w:val="both"/>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2．增加高质量科技供给。实施基础研究引领计划，加强基础研究战略性、前瞻性、体系化布局，建强数学、物理等基础学科研究平台，统筹推进目标导向和自由探索的基础研究，强化瞄准战略需求的建制化、有组织基础研究，突破一批关键基础理论和技术原理。实施前沿颠覆性技术突破计划，大力开展具身智能、量子科技、前沿新材料等重点领域前沿颠覆性技术研发和场景创新，培育一批新的经济增长点。实施关键核心技术攻坚计划，围绕“203060”重点攻坚突破体系，构建“产业出题、科技答题”攻关体系，靶向实施重大（重点）科技专项，攻克一批关键核心技术。完善科研项目组织实施机制，推进重大任务驱动的有组织科研，建立“政府组织推动+企业主攻发力+重大平台支撑+高校科研机构联动”一体协同创新机制。健全需求导向的选题制度、责权利一致的管理制度、应用导向的评价制度，扩大科研经费“包干制+负面清单”试行范围，开展创新资金“拨改投”改革，探索建立非共识项目特殊支持通道。</w:t>
      </w:r>
    </w:p>
    <w:p w14:paraId="125A208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专栏3  基础研究重点领域</w:t>
      </w:r>
    </w:p>
    <w:tbl>
      <w:tblPr>
        <w:tblStyle w:val="2"/>
        <w:tblW w:w="10875" w:type="dxa"/>
        <w:jc w:val="center"/>
        <w:tblBorders>
          <w:top w:val="single" w:color="DDDDDD" w:sz="6" w:space="0"/>
          <w:left w:val="single" w:color="DDDDDD" w:sz="6" w:space="0"/>
          <w:bottom w:val="single" w:color="DDDDDD" w:sz="6" w:space="0"/>
          <w:right w:val="single" w:color="DDDDDD"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10875"/>
      </w:tblGrid>
      <w:tr w14:paraId="24494415">
        <w:tblPrEx>
          <w:tblBorders>
            <w:top w:val="single" w:color="DDDDDD" w:sz="6" w:space="0"/>
            <w:left w:val="single" w:color="DDDDDD" w:sz="6" w:space="0"/>
            <w:bottom w:val="single" w:color="DDDDDD" w:sz="6" w:space="0"/>
            <w:right w:val="single" w:color="DDDDDD" w:sz="6" w:space="0"/>
            <w:insideH w:val="outset" w:color="auto" w:sz="6" w:space="0"/>
            <w:insideV w:val="outset" w:color="auto" w:sz="6" w:space="0"/>
          </w:tblBorders>
          <w:shd w:val="clear" w:color="auto" w:fill="auto"/>
          <w:tblCellMar>
            <w:top w:w="0" w:type="dxa"/>
            <w:left w:w="0" w:type="dxa"/>
            <w:bottom w:w="0" w:type="dxa"/>
            <w:right w:w="0" w:type="dxa"/>
          </w:tblCellMar>
        </w:tblPrEx>
        <w:trPr>
          <w:jc w:val="center"/>
        </w:trPr>
        <w:tc>
          <w:tcPr>
            <w:tcW w:w="10860" w:type="dxa"/>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71CB156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jc w:val="both"/>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1．自由探索基础研究。面向科学前沿，围绕数学、物理、化学、天文与空间科学、地学、生命科学等学科领域，加大对颠覆性、非共识性、原创性基础研究的支持力度，加强新兴领域、交叉融合和跨学科基础研究，支持开展可能重塑重要科学技术概念、催生新学科新领域的研究。</w:t>
            </w:r>
          </w:p>
          <w:p w14:paraId="5F2B2EE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jc w:val="both"/>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2．目标导向基础研究。面向农业、材料、交通、能源、环境、信息、制造、医药、重大系统工程等领域的重大科技创新需求，凝练重大基础研究任务，掌握底层技术原理，筑牢科技创新根基和底座。</w:t>
            </w:r>
          </w:p>
        </w:tc>
      </w:tr>
    </w:tbl>
    <w:p w14:paraId="130D380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30"/>
        <w:jc w:val="both"/>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3．创新赋能塑造“33618”现代制造业集群体系新优势。强化“416”科技创新布局与“33618”现代制造业集群体系深度融合，对接实施产业基础再造工程、重大技术装备攻关任务，深化“产业大脑+未来工厂”新模式，推动“四侧”协同，促进“四链”融合。实施3大主导产业能级跃升、3大支柱产业提质发展、6大特色优势产业加速壮大、18个“新星”产业突破攻坚行动，打通科技加速向现实生产力转化通道，促进自主研发技术产品推广应用，一体推进传统产业优化提升、新兴产业发展壮大、未来产业前瞻布局，培育更多支柱性先导性产业。</w:t>
      </w:r>
    </w:p>
    <w:p w14:paraId="6C0B27C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30"/>
        <w:jc w:val="both"/>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4．深化人工智能创新应用。加快建设“两院一湾”（重庆人工智能学院、重庆通用人工智能研究院和重庆人工智能湾区），打造人工智能创新集群。迭代升级全域新型数字底座，高标准建设西部具身智能产业重要集聚地，加快构建国内领先的低空智能网联系统。优化人工智能赋能千行百业全域全时全场景体系，实施人工智能应用场景“智渝赋能”计划，推进数智场景规模应用，建设一批高价值应用场景。加强人工智能全栈技术创新，探索生成式世界模型，突破基础软件、模型算法、群体智能等核心技术。强化科学大模型、科研智能体建设应用，推动基础科研平台智能化升级，打造一批“人工智能+未来实验室”，提升跨模态科学数据处理和高可靠科学假设生成能力。</w:t>
      </w:r>
    </w:p>
    <w:p w14:paraId="684B36F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30"/>
        <w:jc w:val="both"/>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5．强化企业科技创新主体地位。完善企业梯度培育体系，加速推进高新技术企业和科技型企业“双提质”，实施高成长企业培育行动、小微科技企业孵化行动，建立专精特新企业“主动发现”机制，加大世界500强企业、中国制造业500强企业招引力度，推动企业培育量质齐升。实施企业创新能力提升工程，发挥中央企业高端研发、区域研发优势，完善市属国有企业分类考核评价体系和原始创新激励制度，健全民营企业参与重大项目建设、重大科技任务攻关长效机制，支持外国投资者来渝投资发展，鼓励企业联合高校院所共建联合实验室、技术创新中心、产教融合基地。落实研发费用加计扣除等政策，支持首台（套）装备、首批次材料、首版次软件、首轮次工程流片等创新产品推广应用，规模以上工业企业研发经费投入强度达2%以上。实施产业创新综合体倍增提质工程，支持链主企业、高校及科研机构牵头组建产业创新综合体，深化科技成果转化机制改革试点，推动产学研融通创新，支持高校、科研院所对接企业开展科研攻关，市、区县联动支持承接标志性创新项目。</w:t>
      </w:r>
    </w:p>
    <w:p w14:paraId="7697827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30"/>
        <w:jc w:val="both"/>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6．加快科技成果高效转化。构筑全链条科技成果转化载体矩阵，做强“模力高地”、人工智能OPC（一人公司）社区等新型孵化平台，着力打造高水平科技型企业孵化器，提质发展大学科技园、环大学创新创业生态圈，大力建设概念验证中心、产业中试平台，提速建设高校区域技术转移转化中心（成渝地区）。完善快速高效科技成果转化机制，持续开展职务科技成果单列管理、科技成果“先使用后付费”、“以权代股”、转化收益分配、技术转移职称评聘等机制改革。畅通科技成果转化渠道，建设重庆技术转移学院，壮大技术经理人、职业经理人、投资经理人、孵化器管理人等专业队伍，举办以“渝创星火”“渝创星品”为引领的各类赛事和对接活动。</w:t>
      </w:r>
    </w:p>
    <w:p w14:paraId="45FD702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专栏4  科技成果转化重要载体</w:t>
      </w:r>
    </w:p>
    <w:tbl>
      <w:tblPr>
        <w:tblStyle w:val="2"/>
        <w:tblW w:w="10875" w:type="dxa"/>
        <w:jc w:val="center"/>
        <w:tblBorders>
          <w:top w:val="single" w:color="DDDDDD" w:sz="6" w:space="0"/>
          <w:left w:val="single" w:color="DDDDDD" w:sz="6" w:space="0"/>
          <w:bottom w:val="single" w:color="DDDDDD" w:sz="6" w:space="0"/>
          <w:right w:val="single" w:color="DDDDDD"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10875"/>
      </w:tblGrid>
      <w:tr w14:paraId="08CC8F06">
        <w:tblPrEx>
          <w:tblBorders>
            <w:top w:val="single" w:color="DDDDDD" w:sz="6" w:space="0"/>
            <w:left w:val="single" w:color="DDDDDD" w:sz="6" w:space="0"/>
            <w:bottom w:val="single" w:color="DDDDDD" w:sz="6" w:space="0"/>
            <w:right w:val="single" w:color="DDDDDD" w:sz="6" w:space="0"/>
            <w:insideH w:val="outset" w:color="auto" w:sz="6" w:space="0"/>
            <w:insideV w:val="outset" w:color="auto" w:sz="6" w:space="0"/>
          </w:tblBorders>
          <w:shd w:val="clear" w:color="auto" w:fill="auto"/>
          <w:tblCellMar>
            <w:top w:w="0" w:type="dxa"/>
            <w:left w:w="0" w:type="dxa"/>
            <w:bottom w:w="0" w:type="dxa"/>
            <w:right w:w="0" w:type="dxa"/>
          </w:tblCellMar>
        </w:tblPrEx>
        <w:trPr>
          <w:jc w:val="center"/>
        </w:trPr>
        <w:tc>
          <w:tcPr>
            <w:tcW w:w="10860" w:type="dxa"/>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7C3F1AA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jc w:val="both"/>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1．高水平科技型企业孵化器。提升科技型企业孵化器综合服务水平，构建集政务、财务、法务、投资、检验检测、分析测试、资质论证、知识产权于一体的孵化生态，完善“拎包入住”“零租金”等支持政策和运行机制，孵化培育初创企业。打造集聚效应显著、孵化功能完备、孵化面积10万平方米以上的规模化大型孵化器，依托行业龙头企业、链主企业建设专业化孵化器。</w:t>
            </w:r>
          </w:p>
          <w:p w14:paraId="213738E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jc w:val="both"/>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2．环大学创新创业生态圈。迭代升级10个环大学创新创业生态圈，探索“多校一圈”建设路径，重点打造环大学城创新创业生态圈，支持有条件的区域培育建设环大学创新创业生态圈，完善创业孵化、技术研发、企业培育、科技金融和人力资源服务体系，促进高校科技成果产业化。</w:t>
            </w:r>
          </w:p>
          <w:p w14:paraId="304E6A2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jc w:val="both"/>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3．明月湖科创园。加强总部园区支撑能力建设，持续扩大品牌活动影响力，引导有条件的区县联合高校建设特色园区，复制推广“教育+人才+科创+产业”模式，加快培育孵化初创科技型企业。</w:t>
            </w:r>
          </w:p>
          <w:p w14:paraId="00F42B7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jc w:val="both"/>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4．“模力高地”人工智能创新孵化生态社区。围绕智能网联新能源汽车、具身智能、工业垂类智能体等方向，促进人才、算力、数据、资本等平台协同，构建“基础层—技术层—应用层”三级架构体系，促进“技术—场景—产业”深度融合。</w:t>
            </w:r>
          </w:p>
          <w:p w14:paraId="7BC6770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jc w:val="both"/>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5．高校区域技术转移转化中心（成渝地区）。汇聚全国高校与创新资源，搭建一站式公共转化平台，设立高校科技成果转化专项基金，集聚技术转移人才200人以上，推动高校技术合同成交额超50亿元、高校专利转化数量占新增专利数量的比重达11%。</w:t>
            </w:r>
          </w:p>
          <w:p w14:paraId="0126FA2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jc w:val="both"/>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6．概念验证中心。支持高校、科研院所、新型研发机构、科技领军企业及医疗卫生机构等主体协同投资机构、产业园区等建设概念验证中心，建立完善以市场需求为导向的项目遴选、验证评估、投融资对接、创业辅导等服务机制，推动一批技术转化为现实生产力。</w:t>
            </w:r>
          </w:p>
          <w:p w14:paraId="71003B0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jc w:val="both"/>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7．制造业中试平台。构建“综合型+专业型+企业型”中试平台矩阵体系，支持有条件的单位对标国家级制造业中试平台标准，建设具有行业引领和示范效应的中试平台，强化人工智能等新一代信息技术的融合应用，持续推进中试数字化、网络化、智能化、高端化、绿色化发展。</w:t>
            </w:r>
          </w:p>
        </w:tc>
      </w:tr>
    </w:tbl>
    <w:p w14:paraId="57616AA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30"/>
        <w:jc w:val="both"/>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7．实施科技服务业培育壮大行动。围绕研发服务、检验检测认证、工程技术、工业设计、知识产权等领域打造高水平科技服务公共平台，健全科技服务平台共建共享机制，引进和培育一批高端化、专业化、具有全国影响力的科技服务企业。支持有条件的区县建设科技服务业集聚区，完善“研发设计—检验检测—中试验证”服务体系。</w:t>
      </w:r>
    </w:p>
    <w:p w14:paraId="28205D6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30"/>
        <w:jc w:val="both"/>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8．实施科技金融服务提升行动。优化重庆市科技金融创新联盟运行机制，构建“股贷债保担租”联动的科技金融服务体系。鼓励和规范发展天使投资、风险投资、私募股权投资，完善“种子—科创—产业”全生命周期股权投资体系，设立科创投资母基金，吸引专注于早期投资的头部机构来渝设立存续期较长的子基金，壮大“投早、投小、投长期、投硬科技”耐心资本集群。实施科技金融“长江领航计划”，落实科技创新和技术改造再贷款政策，推进科技部创新积分制“揭榜挂帅”任务，全市科技贷款余额达1.2万亿元。迭代实施企业上市“千里马”专项行动。探索“科技保险+风险减量”服务模式，加快推出新型科技保险产品，探索建立重大技术攻关风险分担机制。</w:t>
      </w:r>
    </w:p>
    <w:p w14:paraId="2959E2A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30"/>
        <w:jc w:val="both"/>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（二）壮大高水平优势创新力量</w:t>
      </w:r>
    </w:p>
    <w:p w14:paraId="3514E37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30"/>
        <w:jc w:val="both"/>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9．聚力建设重庆实验室。健全“平台+人才+任务+机制”运行模式，完善经费保障、运行管理、绩效评价等机制，加快建设金凤、嘉陵江、明月湖、三峡四大重庆实验室，“一室一策”做实重庆实验室“总平台”“总链长”功能，推动高校、科研机构、企业与重庆实验室协同联动，构建“基础研究—应用开发—成果转化”全链条创新生态，着力打造“实验室经济”新形态。</w:t>
      </w:r>
    </w:p>
    <w:p w14:paraId="2A89812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专栏5  重庆实验室</w:t>
      </w:r>
    </w:p>
    <w:tbl>
      <w:tblPr>
        <w:tblStyle w:val="2"/>
        <w:tblW w:w="10875" w:type="dxa"/>
        <w:jc w:val="center"/>
        <w:tblBorders>
          <w:top w:val="single" w:color="DDDDDD" w:sz="6" w:space="0"/>
          <w:left w:val="single" w:color="DDDDDD" w:sz="6" w:space="0"/>
          <w:bottom w:val="single" w:color="DDDDDD" w:sz="6" w:space="0"/>
          <w:right w:val="single" w:color="DDDDDD"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10875"/>
      </w:tblGrid>
      <w:tr w14:paraId="7FFACB53">
        <w:tblPrEx>
          <w:tblBorders>
            <w:top w:val="single" w:color="DDDDDD" w:sz="6" w:space="0"/>
            <w:left w:val="single" w:color="DDDDDD" w:sz="6" w:space="0"/>
            <w:bottom w:val="single" w:color="DDDDDD" w:sz="6" w:space="0"/>
            <w:right w:val="single" w:color="DDDDDD" w:sz="6" w:space="0"/>
            <w:insideH w:val="outset" w:color="auto" w:sz="6" w:space="0"/>
            <w:insideV w:val="outset" w:color="auto" w:sz="6" w:space="0"/>
          </w:tblBorders>
          <w:tblCellMar>
            <w:top w:w="0" w:type="dxa"/>
            <w:left w:w="0" w:type="dxa"/>
            <w:bottom w:w="0" w:type="dxa"/>
            <w:right w:w="0" w:type="dxa"/>
          </w:tblCellMar>
        </w:tblPrEx>
        <w:trPr>
          <w:jc w:val="center"/>
        </w:trPr>
        <w:tc>
          <w:tcPr>
            <w:tcW w:w="10860" w:type="dxa"/>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32B9F39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jc w:val="both"/>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1．金凤实验室。布局建设全流程、体系化的无创诊疗通用设施，建设国家干细胞库西部分中心、重庆市标准化病理资源库、重庆市医学生物样本数据资源库，取得重大科技成果20项以上。</w:t>
            </w:r>
          </w:p>
          <w:p w14:paraId="739ABAE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jc w:val="both"/>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2．嘉陵江实验室。围绕新一代信息技术、人工智能、高端装备等领域，打造国际领先的高端数智装备与系统产业基地，产出重大科技成果20项以上。</w:t>
            </w:r>
          </w:p>
          <w:p w14:paraId="1E09A9D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jc w:val="both"/>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3．明月湖实验室。围绕新一代颠覆性储能材料、高性能轻量化材料、智能新材料以及材料智能设计等领域，加快突破一批战略新技术，形成重大科技成果25项以上。</w:t>
            </w:r>
          </w:p>
          <w:p w14:paraId="38DE08E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jc w:val="both"/>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4．三峡实验室。重点布局资源与环境、碳中和、生态系统、循环经济、区域可持续发展等研究方向，建成具有国际影响力的高水平绿色低碳实验室。</w:t>
            </w:r>
          </w:p>
        </w:tc>
      </w:tr>
    </w:tbl>
    <w:p w14:paraId="303EC3A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30"/>
        <w:jc w:val="both"/>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10．大力提升实验室发展水平。支持张江国家实验室、广州国家实验室重庆基地落地，提质建设在渝全国重点实验室，积极创建精密位移测量、复杂环境土木工程安全等领域全国重点实验室。围绕人工智能、集成电路、深空探索、脑机接口、创新药物等科技前沿和未来产业发展需要，建设一批“特色强、小而精”的市级重点实验室。</w:t>
      </w:r>
    </w:p>
    <w:p w14:paraId="03E5522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30"/>
        <w:jc w:val="both"/>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11．提质发展产业技术创新平台。加快推进生猪国家技术创新中心等产业技术创新平台建设，在现代航道、卫星互联网、智能驾驶、集成电路、氢能等领域争创国家技术创新中心、国家制造业创新中心、国家新兴产业创新中心，在智能网联新能源汽车、先进材料、空天信息、未来能源、高端仪器仪表、生物建造等领域布局建设一批市级技术创新中心、制造业技术创新中心、新兴产业创新中心。</w:t>
      </w:r>
    </w:p>
    <w:p w14:paraId="1FF02E3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专栏6  重大产业技术创新平台</w:t>
      </w:r>
    </w:p>
    <w:tbl>
      <w:tblPr>
        <w:tblStyle w:val="2"/>
        <w:tblW w:w="10875" w:type="dxa"/>
        <w:jc w:val="center"/>
        <w:tblBorders>
          <w:top w:val="single" w:color="DDDDDD" w:sz="6" w:space="0"/>
          <w:left w:val="single" w:color="DDDDDD" w:sz="6" w:space="0"/>
          <w:bottom w:val="single" w:color="DDDDDD" w:sz="6" w:space="0"/>
          <w:right w:val="single" w:color="DDDDDD"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10875"/>
      </w:tblGrid>
      <w:tr w14:paraId="00C43564">
        <w:tblPrEx>
          <w:tblBorders>
            <w:top w:val="single" w:color="DDDDDD" w:sz="6" w:space="0"/>
            <w:left w:val="single" w:color="DDDDDD" w:sz="6" w:space="0"/>
            <w:bottom w:val="single" w:color="DDDDDD" w:sz="6" w:space="0"/>
            <w:right w:val="single" w:color="DDDDDD" w:sz="6" w:space="0"/>
            <w:insideH w:val="outset" w:color="auto" w:sz="6" w:space="0"/>
            <w:insideV w:val="outset" w:color="auto" w:sz="6" w:space="0"/>
          </w:tblBorders>
          <w:shd w:val="clear" w:color="auto" w:fill="auto"/>
          <w:tblCellMar>
            <w:top w:w="0" w:type="dxa"/>
            <w:left w:w="0" w:type="dxa"/>
            <w:bottom w:w="0" w:type="dxa"/>
            <w:right w:w="0" w:type="dxa"/>
          </w:tblCellMar>
        </w:tblPrEx>
        <w:trPr>
          <w:jc w:val="center"/>
        </w:trPr>
        <w:tc>
          <w:tcPr>
            <w:tcW w:w="10860" w:type="dxa"/>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6CD6ACE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jc w:val="both"/>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1．生猪国家技术创新中心。围绕现代化生猪产业体系建设，聚焦种业振兴、饲料粮节约、疫病净化、智慧养殖等产业安全必争领域，从科技攻关、空间体系、人才团队、条件平台、科企融合、成果转化、生猪全产业链发展和体制机制等方面，推动生猪种业、智慧养殖、优质品牌猪肉等产业转型升级，成为现代畜牧业领域国家战略科技力量。</w:t>
            </w:r>
          </w:p>
          <w:p w14:paraId="4C7BD4B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jc w:val="both"/>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2．现代航道国家技术创新中心。聚焦河流动力突变下航道扩能升级、高山峡谷巨型通航建筑物建设、群智协同的全域智慧航道构建等技术难题，从治理结构、人才队伍、创新平台、科技攻关、成果转化和体制机制等方面开展创新体系建设。</w:t>
            </w:r>
          </w:p>
          <w:p w14:paraId="510A831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jc w:val="both"/>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3．卫星互联网应用技术创新中心。聚焦卫星互联网通信、体制协议、组网技术、体系化仿真、系统应用等重点方向，打造可持续高效运行、有效服务卫星互联网应用的原创技术策源地。</w:t>
            </w:r>
          </w:p>
          <w:p w14:paraId="024286D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jc w:val="both"/>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4．氢能新兴产业创新中心。聚焦绿氢制取、高密度储氢、长寿命燃料电池、高效加氢装备及多元场景集成等关键技术，构建集技术研发、测试验证、中试孵化、标准创制于一体的综合性创新平台。</w:t>
            </w:r>
          </w:p>
          <w:p w14:paraId="0A8D4C5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jc w:val="both"/>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5．车规级芯片新兴产业创新中心。整合产业链各环节资源，打造聚焦汽车芯片研发制造的公共服务平台，形成车规级芯片“研发设计—晶圆制造—封装测试—检验检测—上车适配”等全链条覆盖的支撑能力。</w:t>
            </w:r>
          </w:p>
        </w:tc>
      </w:tr>
    </w:tbl>
    <w:p w14:paraId="16D7B2E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30"/>
        <w:jc w:val="both"/>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12．着力打造科技基础条件平台。实施科技基础条件建设行动，提质发展国家野外科学观测研究站，做大用好科技资源数据库，推动高校、科研机构、企业等各类创新主体的科研仪器设备和科学数据开放共享，提升科技期刊的学术组织力、创新引领力、人才凝聚力和国际影响力。加快建设大规模分布孔径深空探测雷达，推动实施重大科技创新能力建设项目，打造一批具有国际引领力的工程化、集成化和原创性科技基础设施与重大平台。</w:t>
      </w:r>
    </w:p>
    <w:p w14:paraId="1BA10EF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30"/>
        <w:jc w:val="both"/>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13．实施高校科技创新能级提升工程。引导重庆大学、西南大学深化智慧能源、先进制造、现代农业、生命科学等领域科技创新。引导陆军军医大学、联勤保障部队工程大学发挥军事医学、军事后勤、军事工程等领域学科优势，深化生命健康、军民融合与应急保障领域科技创新。引导市属高校深化人工智能、智能航运、智能制造、生物医药、绿色交通、新材料等领域科技创新。实施“教育强市区县行”产学研促进行动，深化校企、校地合作，共建科研平台、共担科研项目。加快高校科技成果有效转化，在重点领域产出一批具有全国影响力的原创性成果。</w:t>
      </w:r>
    </w:p>
    <w:p w14:paraId="41B6677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30"/>
        <w:jc w:val="both"/>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14．聚力提升科研机构创新能力。实施市属科研院所重构提升计划，优化结构布局和管理体制，做大做强旗舰科研院所。发挥中央在渝科研院所创新优势，围绕装备制造、智能网联汽车、山地交通、生态环境、地质安全等重点领域协同开展关键共性技术突破和前沿技术攻关。鼓励和规范发展新型研发机构，持续支持重庆通用人工智能研究院、重庆信息与智慧医学研究院等高端研发机构做强能级，采取“平台+项目+团队”的方式布局建设高端仪器仪表、生物制造、柔性电子、低空经济等新域新质创新平台。</w:t>
      </w:r>
    </w:p>
    <w:p w14:paraId="070BF29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专栏7  重点新型研发机构</w:t>
      </w:r>
    </w:p>
    <w:tbl>
      <w:tblPr>
        <w:tblStyle w:val="2"/>
        <w:tblW w:w="10875" w:type="dxa"/>
        <w:jc w:val="center"/>
        <w:tblBorders>
          <w:top w:val="single" w:color="DDDDDD" w:sz="6" w:space="0"/>
          <w:left w:val="single" w:color="DDDDDD" w:sz="6" w:space="0"/>
          <w:bottom w:val="single" w:color="DDDDDD" w:sz="6" w:space="0"/>
          <w:right w:val="single" w:color="DDDDDD"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10875"/>
      </w:tblGrid>
      <w:tr w14:paraId="4D1E6813">
        <w:tblPrEx>
          <w:tblBorders>
            <w:top w:val="single" w:color="DDDDDD" w:sz="6" w:space="0"/>
            <w:left w:val="single" w:color="DDDDDD" w:sz="6" w:space="0"/>
            <w:bottom w:val="single" w:color="DDDDDD" w:sz="6" w:space="0"/>
            <w:right w:val="single" w:color="DDDDDD" w:sz="6" w:space="0"/>
            <w:insideH w:val="outset" w:color="auto" w:sz="6" w:space="0"/>
            <w:insideV w:val="outset" w:color="auto" w:sz="6" w:space="0"/>
          </w:tblBorders>
          <w:shd w:val="clear" w:color="auto" w:fill="auto"/>
          <w:tblCellMar>
            <w:top w:w="0" w:type="dxa"/>
            <w:left w:w="0" w:type="dxa"/>
            <w:bottom w:w="0" w:type="dxa"/>
            <w:right w:w="0" w:type="dxa"/>
          </w:tblCellMar>
        </w:tblPrEx>
        <w:trPr>
          <w:jc w:val="center"/>
        </w:trPr>
        <w:tc>
          <w:tcPr>
            <w:tcW w:w="10860" w:type="dxa"/>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13ABCB1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jc w:val="both"/>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1．重庆通用人工智能研究院。建设大型社会模拟器、具身智能训练场、智能体进化基座等核心基础设施，集聚400人以上的高水平研发与产业化团队，在智能网联新能源汽车、高端装备、低空经济等优势领域落地行业代表性项目50个以上，孵化科技企业7家以上。</w:t>
            </w:r>
          </w:p>
          <w:p w14:paraId="7DD8B72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jc w:val="both"/>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2．重庆信息与智慧医学研究院。整合全球优势资源，聚焦人工智能诊疗与新药创制研究方向，构建“基础研究—技术突破—产业转化”全链条创新矩阵，突出机制体制创新，破除科技创新发展制度性壁垒。</w:t>
            </w:r>
          </w:p>
          <w:p w14:paraId="205FB40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jc w:val="both"/>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3．重庆生物制造研究院。聚焦食品、医药、化工等生物制造领域，构建“前沿基础研究—关键技术攻关—概念验证中试—企业孵化集聚”全链条一体化创新体系，全力打造西部高端生物制造人才的集聚地、颠覆性技术的策源地以及未来产业企业的孵化地。</w:t>
            </w:r>
          </w:p>
          <w:p w14:paraId="72FE5CB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jc w:val="both"/>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4．重庆高端仪器仪表创新研究院。引进培育高端传感器、科学仪器等上下游关联企业，布局开展精密测量、仪器专用芯片等基础共性技术研发，完善“核心部件—整机—系统集成—场景应用”协同创新链，打通从原理创新到工程化、产业化的关键路径。</w:t>
            </w:r>
          </w:p>
          <w:p w14:paraId="71C0457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jc w:val="both"/>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5．重庆柔性电子产业技术研究院。联合高校及产业链龙头企业，聚焦柔性显示、柔性能源、柔性传感三大方向，突破柔性电子产业化应用关键核心技术，推动技术转化与企业孵化，赋能新型显示、智能终端等行业发展，助力重庆打造柔性电子产业集群。</w:t>
            </w:r>
          </w:p>
          <w:p w14:paraId="00763FE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jc w:val="both"/>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6．重庆低空经济研究院。通过“央地合作、院校合作”模式打造临空经济产业园，聚焦eVTOL（电动垂直起降飞行器）整机与动力、无人机反制、智能飞控系统、低空智联网等方向，打造集“技术研发、中试孵化、检验检测、试验试飞、产业服务”于一体的低空经济产业全产业链生态。</w:t>
            </w:r>
          </w:p>
        </w:tc>
      </w:tr>
    </w:tbl>
    <w:p w14:paraId="18B8E76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30"/>
        <w:jc w:val="both"/>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（三）强化教育的支撑引领作用</w:t>
      </w:r>
    </w:p>
    <w:p w14:paraId="134DBAC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30"/>
        <w:jc w:val="both"/>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15．优化高等教育布局。统筹规划院校布局，支持符合条件的市属本科院校更名大学、高职学校升格本科职业学校。“一校一策”支持高校增列博士、硕士学位授予单位，实施“优本扩容”计划，优化人才培养供需结构、层次结构和学科专业结构，理工农医类本科及以上毕业生占比达到60%。根据不同高校功能定位、特色优势，分类推进高校改革，大力推动高校特色发展、错位竞争，健全高校分类管理机制与资源配置机制。</w:t>
      </w:r>
    </w:p>
    <w:p w14:paraId="2C67E13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专栏8  推进高校分类特色发展</w:t>
      </w:r>
    </w:p>
    <w:tbl>
      <w:tblPr>
        <w:tblStyle w:val="2"/>
        <w:tblW w:w="10875" w:type="dxa"/>
        <w:jc w:val="center"/>
        <w:tblBorders>
          <w:top w:val="single" w:color="DDDDDD" w:sz="6" w:space="0"/>
          <w:left w:val="single" w:color="DDDDDD" w:sz="6" w:space="0"/>
          <w:bottom w:val="single" w:color="DDDDDD" w:sz="6" w:space="0"/>
          <w:right w:val="single" w:color="DDDDDD"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10875"/>
      </w:tblGrid>
      <w:tr w14:paraId="52F01B7E">
        <w:tblPrEx>
          <w:tblBorders>
            <w:top w:val="single" w:color="DDDDDD" w:sz="6" w:space="0"/>
            <w:left w:val="single" w:color="DDDDDD" w:sz="6" w:space="0"/>
            <w:bottom w:val="single" w:color="DDDDDD" w:sz="6" w:space="0"/>
            <w:right w:val="single" w:color="DDDDDD" w:sz="6" w:space="0"/>
            <w:insideH w:val="outset" w:color="auto" w:sz="6" w:space="0"/>
            <w:insideV w:val="outset" w:color="auto" w:sz="6" w:space="0"/>
          </w:tblBorders>
          <w:shd w:val="clear" w:color="auto" w:fill="auto"/>
        </w:tblPrEx>
        <w:trPr>
          <w:jc w:val="center"/>
        </w:trPr>
        <w:tc>
          <w:tcPr>
            <w:tcW w:w="10860" w:type="dxa"/>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1BEE1A2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jc w:val="both"/>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1．研究型大学。支持重庆大学、西南大学等高校深入推进“双一流”建设，聚焦高端装备、清洁能源装备、智能建造、生物育种等领域国家重大战略需求，集聚机械工程、电气工程、土木工程、生物学等优势学科力量，培养国家战略急需人才与学术领军力量，开展基础研究、原创性前沿性研究和关键核心技术突破。</w:t>
            </w:r>
          </w:p>
          <w:p w14:paraId="6AB3D44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jc w:val="both"/>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2．应用型大学。推动实施高水平应用型大学“双优”建设，聚焦办学能力优质、服务区域经济社会发展优秀，支持市属本科院校建设一批应用型大学，依托各自特色学科力量，着力推动应用基础研究、技术创新和应用创新人才培养。</w:t>
            </w:r>
          </w:p>
          <w:p w14:paraId="4EAE1E8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jc w:val="both"/>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3．技能型大学。推进“双高建设计划”，围绕办学能力高水平、产教融合高质量，推动市属职业本科院校和高职院校深化校企协同，培养适应产业技术要求的技能型人才，开展贴近先进制造业与现代服务业等行业领域生产实践一线需要的技术创新与升级，建成第二期“双高建设计划”院校10所以上，服务行业创新发展。</w:t>
            </w:r>
          </w:p>
        </w:tc>
      </w:tr>
    </w:tbl>
    <w:p w14:paraId="66D0B97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30"/>
        <w:jc w:val="both"/>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16．深入推进“双一流”建设。坚持激发高校内生动力，建实优势学科，“一校一案”支持高校争创“双一流”。支持重庆大学、西南大学根据创新能级和实际贡献动态配置资源，推动其“双一流”建设学科实力提升、争先进位，辐射带动全市高校学科水平整体跃升。对标“双一流”建设标准，强化贡献导向，聚焦在渝高校重点领域优势学科，常态化开展建设成效诊断评价与资源动态配置。支持高校引进顶尖人才，深度参与重庆实验室、大科学装置建设和重大科技攻关项目，建强高水平智库和哲学社会科学重点研究基地，持续产出标志性成果，提升学科核心竞争力。</w:t>
      </w:r>
    </w:p>
    <w:p w14:paraId="2758FF4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30"/>
        <w:jc w:val="both"/>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17．以需求牵引学科专业动态调整。整合全域数据资源，归集全维度数据要素，建设人才供需对接大数据平台。开展常态化人才供需趋势研判，定期发布人才需求清单和学科专业发展引导清单，加快布局急需学科专业，建强基础学科专业，前瞻培育新兴交叉学科专业，转型升级传统学科专业，调整优化存量学科专业，建立科技发展、国家战略和产业需求牵引的学科专业动态调整机制。强化招生计划、经费投入、平台建设与学科专业建设联动。常态化开展学科专业监测，健全评价体系，完善学科专业退出机制。</w:t>
      </w:r>
    </w:p>
    <w:p w14:paraId="7EDE187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专栏9  统筹设置学科专业</w:t>
      </w:r>
    </w:p>
    <w:tbl>
      <w:tblPr>
        <w:tblStyle w:val="2"/>
        <w:tblW w:w="10875" w:type="dxa"/>
        <w:jc w:val="center"/>
        <w:tblBorders>
          <w:top w:val="single" w:color="DDDDDD" w:sz="6" w:space="0"/>
          <w:left w:val="single" w:color="DDDDDD" w:sz="6" w:space="0"/>
          <w:bottom w:val="single" w:color="DDDDDD" w:sz="6" w:space="0"/>
          <w:right w:val="single" w:color="DDDDDD"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10875"/>
      </w:tblGrid>
      <w:tr w14:paraId="03E6CB54">
        <w:tblPrEx>
          <w:tblBorders>
            <w:top w:val="single" w:color="DDDDDD" w:sz="6" w:space="0"/>
            <w:left w:val="single" w:color="DDDDDD" w:sz="6" w:space="0"/>
            <w:bottom w:val="single" w:color="DDDDDD" w:sz="6" w:space="0"/>
            <w:right w:val="single" w:color="DDDDDD" w:sz="6" w:space="0"/>
            <w:insideH w:val="outset" w:color="auto" w:sz="6" w:space="0"/>
            <w:insideV w:val="outset" w:color="auto" w:sz="6" w:space="0"/>
          </w:tblBorders>
          <w:shd w:val="clear" w:color="auto" w:fill="auto"/>
          <w:tblCellMar>
            <w:top w:w="0" w:type="dxa"/>
            <w:left w:w="0" w:type="dxa"/>
            <w:bottom w:w="0" w:type="dxa"/>
            <w:right w:w="0" w:type="dxa"/>
          </w:tblCellMar>
        </w:tblPrEx>
        <w:trPr>
          <w:jc w:val="center"/>
        </w:trPr>
        <w:tc>
          <w:tcPr>
            <w:tcW w:w="10860" w:type="dxa"/>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5E21879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jc w:val="both"/>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1．超常布局急需学科专业。聚焦集成电路、人工智能、生物制造、空天信息等关键核心技术，超常布局30个左右急需学科专业，建立学科专业快速响应通道，强化资源整合，强化与行业龙头企业、科研院所、园区协同育人，形成急需紧缺人才培养条件和核心能力。</w:t>
            </w:r>
          </w:p>
          <w:p w14:paraId="7CE5AE8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jc w:val="both"/>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2．前瞻布局新兴和交叉学科专业。围绕智能绿色能源装备、智联电动车等新兴产业发展需要，面向具身智能机器人、量子科技、脑机接口、氢能及新型储能等未来产业，设立新兴交叉学科建设专项，探索“学科+”联合培养模式，力争新增30个左右新兴交叉学科专业。</w:t>
            </w:r>
          </w:p>
          <w:p w14:paraId="4914FD0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jc w:val="both"/>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3．调整优化存量学科专业。指导高校根据“学科专业引导发展清单”，自主开展学科专业调整，优化调整率达到30%以上。建立就业红黄牌提示制度，促进产业、专业、就业“三业联通”，职业教育专业与重点产业适配度达到90%以上。</w:t>
            </w:r>
          </w:p>
        </w:tc>
      </w:tr>
    </w:tbl>
    <w:p w14:paraId="5E73A25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30"/>
        <w:jc w:val="both"/>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18．建优建强学科专业体系。实施市级一流学科建设专项和重点学科、“人工智能+学科群”等建设项目，加快构建优势特色学科专业集群，提升学科能级。建设前沿技术交叉研究院与学科交叉中心，支持重庆大学建设全国首个生物建造交叉学科人才培养基地，建强重庆应用数学中心等平台，增强原始创新供给能力，推进学科专业交叉融合，强化复合型人才培养。实施基础学科和交叉学科突破计划，深入推进新工科、新医科、新农科、新文科2.0建设，促进文理渗透、理工交叉、农工结合、医工协同。推进学科专业内涵更新，打造知识图谱和能力图谱，动态更新人才培养方案。提升教师教书育人能力，完善教师发展支持体系。强化人工智能赋能，建设“人工智能+”课程及高质量教材体系，建好虚拟仿真实验平台和未来学习中心。</w:t>
      </w:r>
    </w:p>
    <w:p w14:paraId="3499D56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30"/>
        <w:jc w:val="both"/>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19．筑牢高校人才培养主阵地。实施“渝英荟萃”拔尖创新人才一体化培养工程，完善早期发现与科学选拔机制，探索基础教育与高等教育有效衔接的贯通培养路径。深化科教融汇与产教融合，推动行业企业、科研机构深度参与办学，开放技术平台与生产场景，共建实验室和实训基地，促进场景应用与人才培养深度融合。鼓励科研骨干、技术总师担任产业导师，深度参与人才培养关键环节工作。加快培养科技领军人才、卓越工程师、大国工匠等急需人才，提升人才供给质量。强化平台育人效能，建好国家卓越工程师学院、重庆人工智能学院、现代产业学院等载体，布局跨学科综合性育人平台。加快推进创新教育改革，汇聚国内外优秀高校科研人员来渝开展产业对接、校企合作。</w:t>
      </w:r>
    </w:p>
    <w:p w14:paraId="7D5133F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30"/>
        <w:jc w:val="both"/>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（四）打造高水平创新人才队伍</w:t>
      </w:r>
    </w:p>
    <w:p w14:paraId="6D76C2B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30"/>
        <w:jc w:val="both"/>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20．加快壮大战略人才力量。强化顶尖人才全球招引，完善项目引才、平台引才体系，强化“一事一议”“一人一策”和集成支持机制。持续强化两院院士后备人才培养。实施青年科技人才担纲创新培优行动，深入开展“百万人才兴重庆”引才活动，引育优秀青年人才50万人。实施新重庆青年人才创新项目，支持培养优秀青年人才500人以上。实施博士后创新人才支持计划，招收博士后5000名以上。强化卓越工程师培养集聚，每年新增卓越工程师及其后备人才1万人以上。迭代“巴渝工匠”行动计划，推进技能强企工程和高技能领军人才培养计划，健全技能人才培育体系。</w:t>
      </w:r>
    </w:p>
    <w:p w14:paraId="2285CA6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30"/>
        <w:jc w:val="both"/>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21．建强重点行业领域专门人才队伍。加强人工智能人才队伍建设，加大算法工程师、数据标注师、智能驾驶工程师等专业人才引育力度，引进创新团队100个以上。建好用好制造业人才库，加强智能网联新能源汽车等重点产业人才培养，培育制造业领军和青年人才2万名以上。实施卫生健康人才培优行动计划，培养医学领军人才和骨干人才200名以上。强化新兴产业和未来产业人才队伍建设，培育智能绿色能源装备、生物医药、智慧医疗装备等新兴产业人才，加快集聚商业航天、智能感知、数据安全以及空域管理等低空科技人才，壮大企业研发人员、工程师、技能人才和经营管理人才队伍。统筹做好生产性服务业、宣传思想文化、网信创新、涉外法治、乡村振兴、社会工作与养老服务等领域人才队伍建设工作。</w:t>
      </w:r>
    </w:p>
    <w:p w14:paraId="34A5878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30"/>
        <w:jc w:val="both"/>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22．营造优质人才发展环境。实施人才保障提质行动，加强对人才的政治引领和联系服务，深化人才创新创业全周期服务机制改革，修订新重庆人才服务管理办法，升级打造“渝才荟”综合场景，布局建设人才科创产业园，优化人才创新创业服务港功能。实施人才激励提升行动，深化国有企业工资决定机制改革，推动薪酬分配向作出突出贡献的人才和一线关键岗位倾斜；开展科研人员减负专项行动，完善保障人才潜心科研制度，减轻人才非科研负担。实施人才交流畅通行动，支持高校院所、企业探索高层次人才“双聘双用”“科技副总”“产业导师”等用才模式，支持科研人员依规兼职创新、离岗创办企业，加强科技特派员、专家服务团等选派工作。</w:t>
      </w:r>
    </w:p>
    <w:p w14:paraId="3BDAEFB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30"/>
        <w:jc w:val="both"/>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（五）塑造内外联动创新发展格局</w:t>
      </w:r>
    </w:p>
    <w:p w14:paraId="7D335BC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30"/>
        <w:jc w:val="both"/>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23．打造市域科创走廊体系。高标准建设以成渝中线科创走廊为主轴、西部（重庆）科学城和两江新区科创城为极核、串联全市科创平台和园区开发区的市域科创走廊，形成“一廊引领、多点支撑、全域联动”的市域科创走廊体系。加快建设“两城科创走廊”，串联科学谷数智科创园、西永微电子产业园、明月湖科创园、两江数字经济产业园等创新区块，联动高校院所、科技企业、科创平台等优质科创资源，组团式打造特色科创社区、产业创新中心，推动人才、成果、资本等创新要素在走廊内高效流动，形成空间集中、产业集群、创新集成的市域创新格局。做强万州、永川、黔江等区域创新引领带动功能，加快建设重庆人工智能湾区、涪陵—长寿新材料产业协同创新园区等特色科创载体，推动平台、人才、技术等创新资源下沉区县，促进中心城区、渝西地区、渝东新城、渝东北三峡库区、渝东南武陵山区差异化、特色化创新发展。实施高新区高质量发展行动，打造“高新区+高校（科研机构）”协同创新发展共同体，推动重庆高新区、璧山高新区、荣昌高新区、永川高新区等国家高新区提质发展、争先进位，支持市级开发区升级为国家级开发区，支持“万达开”创建跨省域国家高新区。</w:t>
      </w:r>
    </w:p>
    <w:p w14:paraId="63AE111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专栏10  市域科创走廊体系</w:t>
      </w:r>
    </w:p>
    <w:tbl>
      <w:tblPr>
        <w:tblStyle w:val="2"/>
        <w:tblW w:w="10875" w:type="dxa"/>
        <w:jc w:val="center"/>
        <w:tblBorders>
          <w:top w:val="single" w:color="DDDDDD" w:sz="6" w:space="0"/>
          <w:left w:val="single" w:color="DDDDDD" w:sz="6" w:space="0"/>
          <w:bottom w:val="single" w:color="DDDDDD" w:sz="6" w:space="0"/>
          <w:right w:val="single" w:color="DDDDDD"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10875"/>
      </w:tblGrid>
      <w:tr w14:paraId="614B4586">
        <w:tblPrEx>
          <w:tblBorders>
            <w:top w:val="single" w:color="DDDDDD" w:sz="6" w:space="0"/>
            <w:left w:val="single" w:color="DDDDDD" w:sz="6" w:space="0"/>
            <w:bottom w:val="single" w:color="DDDDDD" w:sz="6" w:space="0"/>
            <w:right w:val="single" w:color="DDDDDD" w:sz="6" w:space="0"/>
            <w:insideH w:val="outset" w:color="auto" w:sz="6" w:space="0"/>
            <w:insideV w:val="outset" w:color="auto" w:sz="6" w:space="0"/>
          </w:tblBorders>
          <w:shd w:val="clear" w:color="auto" w:fill="auto"/>
          <w:tblCellMar>
            <w:top w:w="0" w:type="dxa"/>
            <w:left w:w="0" w:type="dxa"/>
            <w:bottom w:w="0" w:type="dxa"/>
            <w:right w:w="0" w:type="dxa"/>
          </w:tblCellMar>
        </w:tblPrEx>
        <w:trPr>
          <w:jc w:val="center"/>
        </w:trPr>
        <w:tc>
          <w:tcPr>
            <w:tcW w:w="10860" w:type="dxa"/>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center"/>
          </w:tcPr>
          <w:p w14:paraId="6CD891A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jc w:val="both"/>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1．一廊引领。西部（重庆）科学城核心区优化“北研发、中转化、南制造”空间格局，升级建设大学城、科研港、科学谷、生命岛、微电园五大科创空间，强化基础研究、人才培育和创新策源等核心功能，聚力发展集成电路、新型智能终端、生物医药等先进制造业以及软件和信息服务、科技服务等现代服务业集群，全社会研发投入强度突破6%；西部（重庆）科学城北碚、沙坪坝、九龙坡、江津、璧山五大片区协同发展生物制造、量子信息、氢能、空天科技、具身智能机器人等未来产业。两江新区科创城壮大智能网联新能源汽车、新一代电子信息制造、新能源及装备等主导产业，建强智能网联新能源汽车产业大脑、“模力高地”人工智能创新孵化生态社区，提升临空经济区、临港经济区等开放平台能级，加快打造成渝地区“一带一路”国际技术转移中心，建设中新互联互通示范项目核心承载区。</w:t>
            </w:r>
          </w:p>
          <w:p w14:paraId="5982D79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jc w:val="both"/>
              <w:textAlignment w:val="auto"/>
              <w:rPr>
                <w:rFonts w:hint="eastAsia" w:ascii="Times New Roman" w:hAnsi="Times New Roman" w:eastAsia="方正仿宋_GBK" w:cs="方正仿宋_GBK"/>
                <w:kern w:val="0"/>
                <w:sz w:val="28"/>
                <w:szCs w:val="28"/>
                <w:lang w:val="en-US" w:eastAsia="zh-CN" w:bidi="ar"/>
              </w:rPr>
            </w:pPr>
            <w:r>
              <w:rPr>
                <w:rFonts w:hint="eastAsia" w:ascii="Times New Roman" w:hAnsi="Times New Roman" w:eastAsia="方正仿宋_GBK" w:cs="方正仿宋_GBK"/>
                <w:kern w:val="0"/>
                <w:sz w:val="28"/>
                <w:szCs w:val="28"/>
                <w:lang w:val="en-US" w:eastAsia="zh-CN" w:bidi="ar"/>
              </w:rPr>
              <w:t>2．多点支撑。重庆人工智能湾区加快建设重庆人工智能学院、重庆通用人工智能研究院，聚焦场景开发、数据服务、软硬件集成等领域打造制造业与人工智能深度融合的重要载体，设立重庆人工智能湾区科创人才基金，争创制造业数字化转型促进中心、未来产业先导区。万州在先进材料、智能制造及装备、医药化工等重点领域创建一批科技创新平台基地，推进先进阿秒激光等重大科技基础设施建设，支持龙头企业组建产业创新综合体，建设一批产教融合体、现代产业学院，加快打造环重庆三峡科技大学创新创业生态圈，推动建设明月湖科创园万州“绿色智造技术”特色园区，推动设立领航基金，持续举办“三峡人才节”。永川强化永川高新区的创新带动作用，打造数据集建设应用基地、低空装备产业园、自动驾驶重卡科技产业园等特色产业园，布局新材料等领域技术创新中心和中试平台，提质建设西部职教基地，建设永川国家大学科技园，支持重庆文理学院打造应用型工业大学，培育壮大智能网联新能源汽车、新材料、高端装备、科技影视、低空经济、具身智能等产业。黔江布局建设资源昆虫高效养殖与利用全国重点实验室黔江研究基地、高性能工程材料创新中心、武陵山中药材领域技术创新中心等创新平台，开展新材料、生物医药、生态农业、食品及农产品加工等产业技术攻关和科技成果转化。涪陵—长寿新材料产业协同创新园区提升涪陵经开区、长寿经开区、白涛新材料科技城等的发展能级，升级建设环长江师范学院创新创业生态圈、环重庆化工职业学院创新创业生态圈、慧谷湖科创小镇等创新载体，建设硅基新材料院士工作站等高水平创新平台，提升新材料产业技术创新策源能力、成果转化效率，打造千亿级特色新材料产业聚集区。</w:t>
            </w:r>
          </w:p>
        </w:tc>
      </w:tr>
    </w:tbl>
    <w:p w14:paraId="1B0F78E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30"/>
        <w:jc w:val="both"/>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24．纵深推进川渝协同创新。实施川渝高校学科共建共享工程，联合开展世界一流大学和一流学科建设，推动两地高校课程共建、学分互认、教师互聘、学生互访。深化“一城多园”模式共建西部科学城，高水平建设成渝中线科创走廊，打造成渝绵“科技创新金三角”。实施川渝科技创新合作专项，共建先进材料、生物制造等领域川渝联合实验室，推动科技资源开放共享。共同编制发布成渝地区双城经济圈急需紧缺人才目录，共建川渝籍在外高端人才数据库，加快毗邻地区人才发展深度融合，推动高层次人才评定、职称、技能等级等方面互认，推进成渝地区人才公共服务标准一体化建设，促进两地人才资源共用共享、高效流动。</w:t>
      </w:r>
    </w:p>
    <w:p w14:paraId="1B0AE87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30"/>
        <w:jc w:val="both"/>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25．深化与重点区域的合作。扩大与北京（京津冀）、上海（长三角）、粤港澳大湾区国际科技创新中心和武汉、西安等区域科技创新中心的交流合作，加强与西部地区有关省（区）、长江经济带有关省（市）的科技创新合作，推动高校、科研院所、企业互动交流，联合共建重大科技创新平台、实施重大科技项目。加强与鄂、湘等毗邻地区的科技交流合作，深化鲁渝科技协作，推动科技援疆、援藏工作走深走实。深化与中央企业的协同创新，布局建设一批区域研发总部，落地一批重大科技项目。探索建立“地方出题、央地共答”“国家命题、地方承接”机制，支持本市优势科研力量承担国家重大科技项目。</w:t>
      </w:r>
    </w:p>
    <w:p w14:paraId="68AEF07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30"/>
        <w:jc w:val="both"/>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26．深化国际交流合作。以“科技+产业”为主题，深化“一带一路”科技创新合作区建设，推动技术、产品、服务走出去，提质建设中匈食品科学等“一带一路”联合实验室，新培育一批“一带一路”联合实验室。深入实施成渝地区“一带一路”科技合作“双千”计划，推动高校院所发起或参与国际大科学计划和大科学工程。高质量举办“一带一路”科技交流大会、重庆国际人才交流大会，聚焦前沿领域发起高水平国际学术会议，打造国际交流品牌。支持引进培育国际科技组织，积极创建国际科技组织集聚区。推进高水平教育对外开放，积极引进国外知名大学来渝建设一批高质量中外合作办学机构和项目；建好中希文明互鉴中心、陆海新通道职业教育国际合作联盟等重大平台，大力推进“留学重庆”品牌建设。</w:t>
      </w:r>
    </w:p>
    <w:p w14:paraId="5A409E3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30"/>
        <w:jc w:val="both"/>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（六）深化教育科技人才一体改革</w:t>
      </w:r>
    </w:p>
    <w:p w14:paraId="6E058D7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30"/>
        <w:jc w:val="both"/>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27．健全一体推进协调机制。探索建立教育科技人才统筹管理机制，加强战略目标有机衔接、战略任务一体部署、政策措施协调发力、资源要素统筹配置，推动教育科技人才平台基地协同布局。加快推进载体共建、人才共育、转化共促、产研融通、评用贯通等方面的改革试点工作，释放教育科技人才一体发展乘数效应。探索建设教育科技人才一体发展改革重点实践场景，支持区县和各类创新主体承接重点实践场景建设任务。加强创新成果市场准入环境建设，探索“沙盒监管”、触发式监管等新型监管方式。聚焦关键技术、人才、设备等方面，建立健全科技安全风险预警监测体系和评估研判机制。</w:t>
      </w:r>
    </w:p>
    <w:p w14:paraId="732C34C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30"/>
        <w:jc w:val="both"/>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28．构建政策一体协同机制。推动制定（修订）《重庆市推进科技创新中心建设条例》《重庆市促进人工智能技术发展应用管理条例》《重庆市科学技术普及条例》等地方性法规。强化教育科技人才的政策协同和联动部署，设计形成覆盖“基础研究+技术攻关+成果转化+科技金融+人才支撑”全过程创新生态链的政策工具包，最大程度释放政策协同效能。强化教育科技人才政策一致性评估，提升教育科技人才领域政策目标、力度、周期的一致性和匹配度。</w:t>
      </w:r>
    </w:p>
    <w:p w14:paraId="12F8A39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30"/>
        <w:jc w:val="both"/>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29．优化资源一体统筹机制。加大市、区县两级财政科技投入力度，强化市级科技创新发展资金的统筹管理，构建重大任务部署、科技资金配置、创新绩效评价统筹协同机制，引导全社会研发经费投入、基础研究经费分别年均增长10%以上。健全预算拨款和绩效激励约束机制，适时提高拨款标准和投入水平，力争财政性教育经费支出占全市生产总值的比例达到4%。统筹整合教育经费、科技投入、人才发展资金，聚焦“双一流”建设、创新平台建设、关键核心技术攻关、科技成果转化、高端人才引育等进行一体式投入，建立“投入—绩效—调整”动态机制。以顶尖人才领衔打造标志性创新平台，构建“学科+科研+人才+产业”融合发展模式，强化人才培养、技术创新、产业转化等多重功能，推动高端创新资源全局性配置。</w:t>
      </w:r>
    </w:p>
    <w:p w14:paraId="5CE60CF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30"/>
        <w:jc w:val="both"/>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30．建立评价一体联动机制。开展以成果原创性和学术价值为主的基础研究评价，建立长周期、宽松式的考核机制，优化国际同行评价机制；推行以用户和市场反馈为主的应用研究和技术开发评价，将新技术新产品作为业绩考核、职称评定、人才计划支持的重要依据。推动高校按照基本办学定位实施差异化评价，突出人才培养质量、学科专业特色、服务贡献成效，提高成果转化成效的评价考核比重。持续深化科教界“帽子”治理，加快推动科研人员考核评价激励与报项目、发论文、评奖励等适度脱钩。探索开展多部门、多单位联合评价、结果互认，推动职称评定、职业资格等标准互认互通，强化评价结果的应用与反馈。</w:t>
      </w:r>
    </w:p>
    <w:p w14:paraId="2315352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30"/>
        <w:jc w:val="both"/>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31．深化知识产权综合管理改革。健全以企业为主体、市场为导向、产学研相结合的知识产权高质量创造机制，引导龙头企业、高校、科研机构、行业协会组建产业知识产权创新联合体。优化知识产权保护政策体系，开展人工智能、大数据、绿色低碳等领域知识产权保护规则探索，加强重庆市知识产权保护中心建设，完善行政执法、司法保护、仲裁调解、行业自律、信用监管等协同衔接机制。实施“渝企出海”知识产权护航行动，开展涉外知识产权风险监测预警和纠纷应对指导。深化知识产权全链条运营机制改革，强化重点产业专利池建设，推动建立专利转化尽职免责和容错机制，加强专利动态盘点盘活和分级管理。构建覆盖市、区县、园区的三级知识产权公共服务网络，建立面向重点领域的信息公共服务机制。</w:t>
      </w:r>
    </w:p>
    <w:p w14:paraId="6E1536F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30"/>
        <w:jc w:val="both"/>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32．营造崇尚创新的文化氛围。加快建设西部科普中心，创新举办重庆科技节，持续做优科技活动周、全国科普月等品牌科普活动，深化实施科普能力提升计划、全民科学素质行动。完善全覆盖、全链条、协同化、法治化的科技监督与科研诚信治理体系，构建内部自律、独立监督、政府监管、社会参与“四位一体”的监督格局。建立健全研发创新宽容失败、成果转化尽职免责、创业投资尽职合规责任豁免制度。搭建一体化智慧监管平台，深化跨部门、跨区域科技监督联动，推动信息共享和联合惩戒。全面弘扬科学家精神、工匠精神，构建崇尚创新、尊重人才、褒奖奉献的社会氛围。</w:t>
      </w:r>
    </w:p>
    <w:p w14:paraId="0F55929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30"/>
        <w:jc w:val="both"/>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三、加强组织实施</w:t>
      </w:r>
    </w:p>
    <w:p w14:paraId="411BA1E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30"/>
        <w:jc w:val="both"/>
        <w:textAlignment w:val="auto"/>
        <w:rPr>
          <w:rFonts w:hint="eastAsia" w:ascii="Times New Roman" w:hAnsi="Times New Roman" w:eastAsia="方正仿宋_GBK" w:cs="方正仿宋_GBK"/>
          <w:i w:val="0"/>
          <w:iCs w:val="0"/>
          <w:caps w:val="0"/>
          <w:color w:val="000000"/>
          <w:spacing w:val="0"/>
          <w:kern w:val="0"/>
          <w:sz w:val="28"/>
          <w:szCs w:val="28"/>
          <w:lang w:val="en-US" w:eastAsia="zh-CN" w:bidi="ar"/>
        </w:rPr>
      </w:pPr>
      <w:r>
        <w:rPr>
          <w:rFonts w:hint="eastAsia" w:ascii="Times New Roman" w:hAnsi="Times New Roman" w:eastAsia="方正仿宋_GBK" w:cs="方正仿宋_GBK"/>
          <w:i w:val="0"/>
          <w:iCs w:val="0"/>
          <w:caps w:val="0"/>
          <w:color w:val="000000"/>
          <w:spacing w:val="0"/>
          <w:kern w:val="0"/>
          <w:sz w:val="28"/>
          <w:szCs w:val="28"/>
          <w:shd w:val="clear" w:fill="FFFFFF"/>
          <w:lang w:val="en-US" w:eastAsia="zh-CN" w:bidi="ar"/>
        </w:rPr>
        <w:t>加强党对教育科技人才一体发展工作的全面领导，充分发挥市委教育工作领导小组、市委科技委员会、市委人才工作领导小组的统筹协调作用，构建部门联动、市与区县协同、全体参与的工作格局。市级有关部门、各区县要压实规划实施责任，细化实施举措，推动重大项目、重大政策、重大改革、重大平台落地，确保规划明确的各项目标任务顺利完成。完善市域创新监测评估体系，做好规划实施的动态监测分析、中期评估、总结评估工作，根据实际情况动态优化任务举措。</w:t>
      </w:r>
    </w:p>
    <w:p w14:paraId="5423F12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楷体_GBK">
    <w:panose1 w:val="02000000000000000000"/>
    <w:charset w:val="86"/>
    <w:family w:val="auto"/>
    <w:pitch w:val="default"/>
    <w:sig w:usb0="800002BF" w:usb1="38CF7CFA" w:usb2="00000016"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004D71"/>
    <w:rsid w:val="0CB61A31"/>
    <w:rsid w:val="61004D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1898</Words>
  <Characters>1913</Characters>
  <Lines>0</Lines>
  <Paragraphs>0</Paragraphs>
  <TotalTime>0</TotalTime>
  <ScaleCrop>false</ScaleCrop>
  <LinksUpToDate>false</LinksUpToDate>
  <CharactersWithSpaces>1913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2026-08-20T02:02:00Z</dcterms:created>
  <dc:creator>王鑫</dc:creator>
  <cp:lastModifiedBy>哆啦美</cp:lastModifiedBy>
  <dcterms:modified xsi:type="dcterms:W3CDTF">2026-08-31T06:54:15Z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742C41775C3B45CBBE13208AF9FCC4BB_11</vt:lpwstr>
  </property>
  <property fmtid="{D5CDD505-2E9C-101B-9397-08002B2CF9AE}" pid="4" name="KSOTemplateDocerSaveRecord">
    <vt:lpwstr>eyJoZGlkIjoiNWU2NzBhNzIyY2NhODRkMzdhMzAxNGJiYzUzNTk4OTUiLCJ1c2VySWQiOiIzMTEwNDY2NzgifQ==</vt:lpwstr>
  </property>
</Properties>
</file>